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401E7" w14:textId="77777777" w:rsidR="00CC4C67" w:rsidRDefault="00CC4C67" w:rsidP="00DF3CA3">
      <w:pPr>
        <w:pStyle w:val="Default"/>
      </w:pPr>
    </w:p>
    <w:p w14:paraId="17C9E10C" w14:textId="77777777" w:rsidR="00CC4C67" w:rsidRDefault="00CC4C67" w:rsidP="00DF3CA3">
      <w:pPr>
        <w:pStyle w:val="Default"/>
      </w:pPr>
    </w:p>
    <w:p w14:paraId="36CB52F1" w14:textId="77777777" w:rsidR="00CC4C67" w:rsidRDefault="00CC4C67" w:rsidP="00DF3CA3">
      <w:pPr>
        <w:pStyle w:val="Default"/>
      </w:pPr>
    </w:p>
    <w:p w14:paraId="3139A944" w14:textId="77777777" w:rsidR="00CC4C67" w:rsidRPr="00116BDD" w:rsidRDefault="00CC4C67" w:rsidP="00CC4C67">
      <w:pPr>
        <w:autoSpaceDE w:val="0"/>
        <w:autoSpaceDN w:val="0"/>
        <w:adjustRightInd w:val="0"/>
        <w:spacing w:after="0" w:line="240" w:lineRule="auto"/>
        <w:jc w:val="center"/>
        <w:rPr>
          <w:rFonts w:ascii="Tahoma" w:eastAsia="Arial Unicode MS" w:hAnsi="Tahoma" w:cs="Tahoma"/>
          <w:b/>
          <w:bCs/>
          <w:color w:val="000000"/>
          <w:sz w:val="44"/>
          <w:szCs w:val="28"/>
        </w:rPr>
      </w:pPr>
      <w:r w:rsidRPr="00116BDD">
        <w:rPr>
          <w:rFonts w:ascii="Tahoma" w:eastAsia="Arial Unicode MS" w:hAnsi="Tahoma" w:cs="Tahoma"/>
          <w:b/>
          <w:bCs/>
          <w:color w:val="000000"/>
          <w:sz w:val="44"/>
          <w:szCs w:val="28"/>
        </w:rPr>
        <w:t>DANNHAUSER LOCAL MUNICIPALITY</w:t>
      </w:r>
    </w:p>
    <w:p w14:paraId="0C1F54A5" w14:textId="77777777" w:rsidR="00CC4C67" w:rsidRPr="00116BDD" w:rsidRDefault="00CC4C67" w:rsidP="00CC4C67">
      <w:pPr>
        <w:autoSpaceDE w:val="0"/>
        <w:autoSpaceDN w:val="0"/>
        <w:adjustRightInd w:val="0"/>
        <w:spacing w:after="0" w:line="240" w:lineRule="auto"/>
        <w:rPr>
          <w:rFonts w:ascii="Tahoma" w:eastAsia="Arial Unicode MS" w:hAnsi="Tahoma" w:cs="Tahoma"/>
          <w:b/>
          <w:bCs/>
          <w:color w:val="000000"/>
          <w:sz w:val="28"/>
          <w:szCs w:val="28"/>
        </w:rPr>
      </w:pPr>
    </w:p>
    <w:p w14:paraId="28FF0799" w14:textId="77777777" w:rsidR="00CC4C67" w:rsidRPr="00116BDD" w:rsidRDefault="00CC4C67" w:rsidP="00CC4C67">
      <w:pPr>
        <w:autoSpaceDE w:val="0"/>
        <w:autoSpaceDN w:val="0"/>
        <w:adjustRightInd w:val="0"/>
        <w:spacing w:after="0" w:line="240" w:lineRule="auto"/>
        <w:jc w:val="center"/>
        <w:rPr>
          <w:rFonts w:ascii="Tahoma" w:eastAsia="Arial Unicode MS" w:hAnsi="Tahoma" w:cs="Tahoma"/>
          <w:b/>
          <w:bCs/>
          <w:color w:val="000000"/>
          <w:sz w:val="28"/>
          <w:szCs w:val="28"/>
        </w:rPr>
      </w:pPr>
    </w:p>
    <w:p w14:paraId="5AD34143" w14:textId="77777777" w:rsidR="00CC4C67" w:rsidRPr="00116BDD" w:rsidRDefault="00CC4C67" w:rsidP="00CC4C67">
      <w:pPr>
        <w:autoSpaceDE w:val="0"/>
        <w:autoSpaceDN w:val="0"/>
        <w:adjustRightInd w:val="0"/>
        <w:spacing w:after="0" w:line="240" w:lineRule="auto"/>
        <w:jc w:val="center"/>
        <w:rPr>
          <w:rFonts w:ascii="Tahoma" w:eastAsia="Arial Unicode MS" w:hAnsi="Tahoma" w:cs="Tahoma"/>
          <w:b/>
          <w:bCs/>
          <w:color w:val="000000"/>
          <w:sz w:val="28"/>
          <w:szCs w:val="28"/>
        </w:rPr>
      </w:pPr>
    </w:p>
    <w:p w14:paraId="757B8885" w14:textId="77777777" w:rsidR="00CC4C67" w:rsidRPr="00116BDD" w:rsidRDefault="00CC4C67" w:rsidP="00CC4C67">
      <w:pPr>
        <w:autoSpaceDE w:val="0"/>
        <w:autoSpaceDN w:val="0"/>
        <w:adjustRightInd w:val="0"/>
        <w:spacing w:after="0" w:line="240" w:lineRule="auto"/>
        <w:jc w:val="center"/>
        <w:rPr>
          <w:rFonts w:ascii="Tahoma" w:eastAsia="Arial Unicode MS" w:hAnsi="Tahoma" w:cs="Tahoma"/>
          <w:b/>
          <w:bCs/>
          <w:color w:val="000000"/>
          <w:sz w:val="28"/>
          <w:szCs w:val="28"/>
        </w:rPr>
      </w:pPr>
    </w:p>
    <w:p w14:paraId="05F9F16E" w14:textId="5062166F" w:rsidR="00CC4C67" w:rsidRPr="00116BDD" w:rsidRDefault="00B02F9B" w:rsidP="00CC4C67">
      <w:pPr>
        <w:autoSpaceDE w:val="0"/>
        <w:autoSpaceDN w:val="0"/>
        <w:adjustRightInd w:val="0"/>
        <w:spacing w:after="0" w:line="240" w:lineRule="auto"/>
        <w:rPr>
          <w:rFonts w:ascii="Tahoma" w:hAnsi="Tahoma" w:cs="Tahoma"/>
          <w:b/>
          <w:bCs/>
          <w:color w:val="000000"/>
          <w:sz w:val="28"/>
          <w:szCs w:val="28"/>
        </w:rPr>
      </w:pPr>
      <w:r>
        <w:rPr>
          <w:noProof/>
          <w:lang w:val="en-US"/>
        </w:rPr>
        <w:drawing>
          <wp:anchor distT="0" distB="0" distL="114300" distR="114300" simplePos="0" relativeHeight="251659264" behindDoc="0" locked="0" layoutInCell="1" allowOverlap="1" wp14:anchorId="49EDCC8A" wp14:editId="448EDC5E">
            <wp:simplePos x="0" y="0"/>
            <wp:positionH relativeFrom="margin">
              <wp:posOffset>690245</wp:posOffset>
            </wp:positionH>
            <wp:positionV relativeFrom="margin">
              <wp:posOffset>1726565</wp:posOffset>
            </wp:positionV>
            <wp:extent cx="4076700" cy="3876675"/>
            <wp:effectExtent l="0" t="0" r="0" b="9525"/>
            <wp:wrapSquare wrapText="bothSides"/>
            <wp:docPr id="1" name="Picture 1"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3876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FABE0"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4E61A2F1" w14:textId="40B3E4EC"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12B4C6FA" w14:textId="090FD229"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3C422CFA"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51C44996"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7247E65E"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4B5D8D0C" w14:textId="77777777" w:rsidR="00CC4C67" w:rsidRPr="00116BDD" w:rsidRDefault="00CC4C67" w:rsidP="00CC4C67">
      <w:pPr>
        <w:autoSpaceDE w:val="0"/>
        <w:autoSpaceDN w:val="0"/>
        <w:adjustRightInd w:val="0"/>
        <w:spacing w:after="0" w:line="240" w:lineRule="auto"/>
        <w:jc w:val="center"/>
        <w:rPr>
          <w:rFonts w:ascii="Tahoma" w:hAnsi="Tahoma" w:cs="Tahoma"/>
          <w:b/>
          <w:bCs/>
          <w:color w:val="000000"/>
          <w:sz w:val="28"/>
          <w:szCs w:val="28"/>
        </w:rPr>
      </w:pPr>
    </w:p>
    <w:p w14:paraId="5EF8EA96"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0E4C658C"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23E0524D"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6FC20E6A"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02AFEC6D"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320DC513"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554E3B93"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355066CC"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68846544"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3A2DD4A5"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0B4389D9" w14:textId="77777777" w:rsidR="00CC4C67" w:rsidRDefault="00CC4C67" w:rsidP="00CC4C67">
      <w:pPr>
        <w:autoSpaceDE w:val="0"/>
        <w:autoSpaceDN w:val="0"/>
        <w:adjustRightInd w:val="0"/>
        <w:spacing w:after="0" w:line="240" w:lineRule="auto"/>
        <w:rPr>
          <w:rFonts w:ascii="Tahoma" w:hAnsi="Tahoma" w:cs="Tahoma"/>
          <w:b/>
          <w:bCs/>
          <w:color w:val="000000"/>
          <w:sz w:val="28"/>
          <w:szCs w:val="28"/>
        </w:rPr>
      </w:pPr>
    </w:p>
    <w:p w14:paraId="390BFD62" w14:textId="77777777" w:rsidR="00CC4C67" w:rsidRDefault="00CC4C67" w:rsidP="00CC4C67">
      <w:pPr>
        <w:autoSpaceDE w:val="0"/>
        <w:autoSpaceDN w:val="0"/>
        <w:adjustRightInd w:val="0"/>
        <w:spacing w:after="0" w:line="240" w:lineRule="auto"/>
        <w:rPr>
          <w:rFonts w:ascii="Tahoma" w:hAnsi="Tahoma" w:cs="Tahoma"/>
          <w:b/>
          <w:bCs/>
          <w:color w:val="000000"/>
          <w:sz w:val="28"/>
          <w:szCs w:val="28"/>
        </w:rPr>
      </w:pPr>
    </w:p>
    <w:p w14:paraId="1C04713F" w14:textId="77777777" w:rsidR="00CC4C67" w:rsidRDefault="00CC4C67" w:rsidP="00CC4C67">
      <w:pPr>
        <w:autoSpaceDE w:val="0"/>
        <w:autoSpaceDN w:val="0"/>
        <w:adjustRightInd w:val="0"/>
        <w:spacing w:after="0" w:line="240" w:lineRule="auto"/>
        <w:rPr>
          <w:rFonts w:ascii="Tahoma" w:hAnsi="Tahoma" w:cs="Tahoma"/>
          <w:b/>
          <w:bCs/>
          <w:color w:val="000000"/>
          <w:sz w:val="28"/>
          <w:szCs w:val="28"/>
        </w:rPr>
      </w:pPr>
    </w:p>
    <w:p w14:paraId="71792CCA"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5BE8D485" w14:textId="2B36FFC5" w:rsidR="00B02F9B" w:rsidRDefault="00B02F9B" w:rsidP="00B02F9B">
      <w:pPr>
        <w:autoSpaceDE w:val="0"/>
        <w:autoSpaceDN w:val="0"/>
        <w:adjustRightInd w:val="0"/>
        <w:spacing w:after="0" w:line="240" w:lineRule="auto"/>
        <w:jc w:val="center"/>
        <w:rPr>
          <w:rFonts w:ascii="Tahoma" w:eastAsia="Arial Unicode MS" w:hAnsi="Tahoma" w:cs="Tahoma"/>
          <w:b/>
          <w:bCs/>
          <w:color w:val="000000"/>
          <w:sz w:val="36"/>
          <w:szCs w:val="28"/>
        </w:rPr>
      </w:pPr>
      <w:r>
        <w:rPr>
          <w:rFonts w:ascii="Tahoma" w:eastAsia="Arial Unicode MS" w:hAnsi="Tahoma" w:cs="Tahoma"/>
          <w:b/>
          <w:bCs/>
          <w:color w:val="000000"/>
          <w:sz w:val="36"/>
          <w:szCs w:val="28"/>
        </w:rPr>
        <w:t>VALUE ADDED TAX</w:t>
      </w:r>
      <w:r w:rsidRPr="00116BDD">
        <w:rPr>
          <w:rFonts w:ascii="Tahoma" w:eastAsia="Arial Unicode MS" w:hAnsi="Tahoma" w:cs="Tahoma"/>
          <w:b/>
          <w:bCs/>
          <w:color w:val="000000"/>
          <w:sz w:val="36"/>
          <w:szCs w:val="28"/>
        </w:rPr>
        <w:t xml:space="preserve"> POL</w:t>
      </w:r>
      <w:r>
        <w:rPr>
          <w:rFonts w:ascii="Tahoma" w:eastAsia="Arial Unicode MS" w:hAnsi="Tahoma" w:cs="Tahoma"/>
          <w:b/>
          <w:bCs/>
          <w:color w:val="000000"/>
          <w:sz w:val="36"/>
          <w:szCs w:val="28"/>
        </w:rPr>
        <w:t>ICY 2024/2025</w:t>
      </w:r>
    </w:p>
    <w:p w14:paraId="460533D8" w14:textId="77777777" w:rsidR="00B02F9B" w:rsidRDefault="00B02F9B" w:rsidP="00B02F9B">
      <w:pPr>
        <w:autoSpaceDE w:val="0"/>
        <w:autoSpaceDN w:val="0"/>
        <w:adjustRightInd w:val="0"/>
        <w:spacing w:after="0" w:line="240" w:lineRule="auto"/>
        <w:jc w:val="center"/>
        <w:rPr>
          <w:rFonts w:ascii="Tahoma" w:eastAsia="Arial Unicode MS" w:hAnsi="Tahoma" w:cs="Tahoma"/>
          <w:b/>
          <w:bCs/>
          <w:color w:val="000000"/>
          <w:sz w:val="36"/>
          <w:szCs w:val="28"/>
        </w:rPr>
      </w:pPr>
    </w:p>
    <w:p w14:paraId="4D987DC6" w14:textId="77777777" w:rsidR="00B02F9B" w:rsidRPr="00116BDD" w:rsidRDefault="00B02F9B" w:rsidP="00B02F9B">
      <w:pPr>
        <w:autoSpaceDE w:val="0"/>
        <w:autoSpaceDN w:val="0"/>
        <w:adjustRightInd w:val="0"/>
        <w:spacing w:after="0" w:line="240" w:lineRule="auto"/>
        <w:jc w:val="center"/>
        <w:rPr>
          <w:rFonts w:ascii="Tahoma" w:eastAsia="Arial Unicode MS" w:hAnsi="Tahoma" w:cs="Tahoma"/>
          <w:b/>
          <w:bCs/>
          <w:color w:val="000000"/>
          <w:sz w:val="36"/>
          <w:szCs w:val="28"/>
        </w:rPr>
      </w:pPr>
    </w:p>
    <w:p w14:paraId="50B83658" w14:textId="77777777" w:rsidR="00CC4C67" w:rsidRPr="00116BDD" w:rsidRDefault="00CC4C67" w:rsidP="00CC4C67">
      <w:pPr>
        <w:autoSpaceDE w:val="0"/>
        <w:autoSpaceDN w:val="0"/>
        <w:adjustRightInd w:val="0"/>
        <w:spacing w:after="0" w:line="240" w:lineRule="auto"/>
        <w:rPr>
          <w:rFonts w:ascii="Tahoma" w:hAnsi="Tahoma" w:cs="Tahoma"/>
          <w:b/>
          <w:bCs/>
          <w:color w:val="000000"/>
          <w:sz w:val="28"/>
          <w:szCs w:val="28"/>
        </w:rPr>
      </w:pPr>
    </w:p>
    <w:p w14:paraId="4609BCA3" w14:textId="77777777" w:rsidR="00CC4C67" w:rsidRPr="00415608" w:rsidRDefault="00CC4C67" w:rsidP="00CC4C67">
      <w:pPr>
        <w:autoSpaceDE w:val="0"/>
        <w:autoSpaceDN w:val="0"/>
        <w:adjustRightInd w:val="0"/>
        <w:spacing w:after="0" w:line="240" w:lineRule="auto"/>
        <w:rPr>
          <w:rFonts w:ascii="Tahoma" w:hAnsi="Tahoma" w:cs="Tahoma"/>
          <w:b/>
          <w:bCs/>
          <w:color w:val="000000"/>
          <w:sz w:val="36"/>
          <w:szCs w:val="36"/>
        </w:rPr>
      </w:pPr>
    </w:p>
    <w:p w14:paraId="1B44B388" w14:textId="4FADC9BB" w:rsidR="00246104" w:rsidRPr="00DD40E1" w:rsidRDefault="00246104" w:rsidP="00B02F9B">
      <w:pPr>
        <w:autoSpaceDE w:val="0"/>
        <w:autoSpaceDN w:val="0"/>
        <w:adjustRightInd w:val="0"/>
        <w:spacing w:after="0" w:line="240" w:lineRule="auto"/>
        <w:rPr>
          <w:rFonts w:ascii="Tahoma" w:hAnsi="Tahoma" w:cs="Tahoma"/>
          <w:b/>
          <w:bCs/>
          <w:color w:val="000000"/>
          <w:sz w:val="56"/>
          <w:szCs w:val="56"/>
        </w:rPr>
      </w:pPr>
    </w:p>
    <w:p w14:paraId="35A81C12" w14:textId="77777777" w:rsidR="00246104" w:rsidRDefault="00246104" w:rsidP="005B40AF">
      <w:pPr>
        <w:pStyle w:val="Default"/>
        <w:rPr>
          <w:b/>
        </w:rPr>
      </w:pPr>
    </w:p>
    <w:p w14:paraId="1497A389" w14:textId="77777777" w:rsidR="000149DE" w:rsidRDefault="000149DE" w:rsidP="005B40AF">
      <w:pPr>
        <w:pStyle w:val="Default"/>
        <w:rPr>
          <w:b/>
        </w:rPr>
      </w:pPr>
    </w:p>
    <w:p w14:paraId="13C48F76" w14:textId="23A56451" w:rsidR="00466932" w:rsidRDefault="008B427A" w:rsidP="005B40AF">
      <w:pPr>
        <w:pStyle w:val="Heading1"/>
        <w:numPr>
          <w:ilvl w:val="0"/>
          <w:numId w:val="8"/>
        </w:numPr>
        <w:rPr>
          <w:rFonts w:asciiTheme="minorHAnsi" w:hAnsiTheme="minorHAnsi" w:cstheme="minorHAnsi"/>
          <w:b/>
          <w:bCs/>
          <w:caps/>
          <w:color w:val="000000" w:themeColor="text1"/>
          <w:sz w:val="28"/>
          <w:szCs w:val="28"/>
        </w:rPr>
      </w:pPr>
      <w:r>
        <w:rPr>
          <w:rFonts w:asciiTheme="minorHAnsi" w:hAnsiTheme="minorHAnsi" w:cstheme="minorHAnsi"/>
          <w:b/>
          <w:bCs/>
          <w:caps/>
          <w:color w:val="000000" w:themeColor="text1"/>
          <w:sz w:val="28"/>
          <w:szCs w:val="28"/>
        </w:rPr>
        <w:lastRenderedPageBreak/>
        <w:t>DEFIN</w:t>
      </w:r>
      <w:r w:rsidR="000B0EEE">
        <w:rPr>
          <w:rFonts w:asciiTheme="minorHAnsi" w:hAnsiTheme="minorHAnsi" w:cstheme="minorHAnsi"/>
          <w:b/>
          <w:bCs/>
          <w:caps/>
          <w:color w:val="000000" w:themeColor="text1"/>
          <w:sz w:val="28"/>
          <w:szCs w:val="28"/>
        </w:rPr>
        <w:t>i</w:t>
      </w:r>
      <w:r>
        <w:rPr>
          <w:rFonts w:asciiTheme="minorHAnsi" w:hAnsiTheme="minorHAnsi" w:cstheme="minorHAnsi"/>
          <w:b/>
          <w:bCs/>
          <w:caps/>
          <w:color w:val="000000" w:themeColor="text1"/>
          <w:sz w:val="28"/>
          <w:szCs w:val="28"/>
        </w:rPr>
        <w:t xml:space="preserve">TION </w:t>
      </w:r>
    </w:p>
    <w:p w14:paraId="4BF085FE" w14:textId="77777777" w:rsidR="00DD40E1" w:rsidRPr="00DD40E1" w:rsidRDefault="00DD40E1" w:rsidP="00DD40E1"/>
    <w:p w14:paraId="76C04F92" w14:textId="225D436F" w:rsidR="0049471E" w:rsidRDefault="0049471E" w:rsidP="000149DE">
      <w:pPr>
        <w:pStyle w:val="ListParagraph"/>
        <w:numPr>
          <w:ilvl w:val="0"/>
          <w:numId w:val="10"/>
        </w:numPr>
        <w:spacing w:after="240"/>
        <w:jc w:val="both"/>
        <w:rPr>
          <w:rFonts w:cstheme="minorHAnsi"/>
          <w:color w:val="000000"/>
          <w:sz w:val="28"/>
          <w:szCs w:val="28"/>
        </w:rPr>
      </w:pPr>
      <w:r w:rsidRPr="00DD40E1">
        <w:rPr>
          <w:rFonts w:cstheme="minorHAnsi"/>
          <w:color w:val="000000"/>
          <w:sz w:val="28"/>
          <w:szCs w:val="28"/>
        </w:rPr>
        <w:t>Value-Added Tax is commonly known as VAT.</w:t>
      </w:r>
      <w:r w:rsidR="00466932" w:rsidRPr="00DD40E1">
        <w:rPr>
          <w:rFonts w:cstheme="minorHAnsi"/>
          <w:color w:val="000000"/>
          <w:sz w:val="28"/>
          <w:szCs w:val="28"/>
        </w:rPr>
        <w:t xml:space="preserve"> It</w:t>
      </w:r>
      <w:r w:rsidRPr="00DD40E1">
        <w:rPr>
          <w:rFonts w:cstheme="minorHAnsi"/>
          <w:color w:val="000000"/>
          <w:sz w:val="28"/>
          <w:szCs w:val="28"/>
        </w:rPr>
        <w:t xml:space="preserve"> is an indirect tax on the consumption of goods and services in the economy. Revenue is raised for government by requiring certain businesses to register and to charge VAT on the taxable supplies of goods and services. </w:t>
      </w:r>
    </w:p>
    <w:p w14:paraId="56B9879E" w14:textId="3564D65E" w:rsidR="008B21F5" w:rsidRPr="008B21F5" w:rsidRDefault="008B21F5" w:rsidP="000149DE">
      <w:pPr>
        <w:pStyle w:val="ListParagraph"/>
        <w:numPr>
          <w:ilvl w:val="0"/>
          <w:numId w:val="10"/>
        </w:numPr>
        <w:spacing w:after="240"/>
        <w:jc w:val="both"/>
        <w:rPr>
          <w:rFonts w:cstheme="minorHAnsi"/>
          <w:color w:val="000000"/>
          <w:sz w:val="28"/>
          <w:szCs w:val="28"/>
        </w:rPr>
      </w:pPr>
      <w:r w:rsidRPr="008B21F5">
        <w:rPr>
          <w:b/>
          <w:bCs/>
          <w:sz w:val="28"/>
          <w:szCs w:val="28"/>
        </w:rPr>
        <w:t>Value-added tax (VAT)</w:t>
      </w:r>
      <w:r w:rsidRPr="008B21F5">
        <w:rPr>
          <w:sz w:val="28"/>
          <w:szCs w:val="28"/>
        </w:rPr>
        <w:t xml:space="preserve">: A tax levied and paid on the supply of goods or services, calculated at a standard rate of 15% or zero rate (0%) </w:t>
      </w:r>
      <w:r>
        <w:rPr>
          <w:sz w:val="28"/>
          <w:szCs w:val="28"/>
        </w:rPr>
        <w:t xml:space="preserve">, exempt </w:t>
      </w:r>
      <w:r w:rsidRPr="008B21F5">
        <w:rPr>
          <w:sz w:val="28"/>
          <w:szCs w:val="28"/>
        </w:rPr>
        <w:t xml:space="preserve">supply. </w:t>
      </w:r>
    </w:p>
    <w:p w14:paraId="2FFC9A54" w14:textId="77777777" w:rsidR="008B21F5" w:rsidRPr="008B21F5" w:rsidRDefault="008B21F5" w:rsidP="000149DE">
      <w:pPr>
        <w:pStyle w:val="ListParagraph"/>
        <w:numPr>
          <w:ilvl w:val="0"/>
          <w:numId w:val="10"/>
        </w:numPr>
        <w:spacing w:after="240"/>
        <w:jc w:val="both"/>
        <w:rPr>
          <w:rFonts w:cstheme="minorHAnsi"/>
          <w:color w:val="000000"/>
          <w:sz w:val="28"/>
          <w:szCs w:val="28"/>
        </w:rPr>
      </w:pPr>
      <w:r w:rsidRPr="008B21F5">
        <w:rPr>
          <w:b/>
          <w:bCs/>
          <w:sz w:val="28"/>
          <w:szCs w:val="28"/>
        </w:rPr>
        <w:t>Output tax</w:t>
      </w:r>
      <w:r w:rsidRPr="008B21F5">
        <w:rPr>
          <w:sz w:val="28"/>
          <w:szCs w:val="28"/>
        </w:rPr>
        <w:t xml:space="preserve">: means tax levied with regard to provision or rendering of taxable goods or services (VAT on sales). </w:t>
      </w:r>
    </w:p>
    <w:p w14:paraId="6EF0AF7F" w14:textId="7880A152" w:rsidR="004953BD" w:rsidRPr="008B21F5" w:rsidRDefault="008B21F5" w:rsidP="000149DE">
      <w:pPr>
        <w:pStyle w:val="ListParagraph"/>
        <w:numPr>
          <w:ilvl w:val="0"/>
          <w:numId w:val="10"/>
        </w:numPr>
        <w:spacing w:after="240"/>
        <w:jc w:val="both"/>
        <w:rPr>
          <w:rFonts w:cstheme="minorHAnsi"/>
          <w:color w:val="000000"/>
          <w:sz w:val="28"/>
          <w:szCs w:val="28"/>
        </w:rPr>
      </w:pPr>
      <w:r w:rsidRPr="008B21F5">
        <w:rPr>
          <w:b/>
          <w:bCs/>
          <w:sz w:val="28"/>
          <w:szCs w:val="28"/>
        </w:rPr>
        <w:t>Input tax:</w:t>
      </w:r>
      <w:r w:rsidRPr="008B21F5">
        <w:rPr>
          <w:sz w:val="28"/>
          <w:szCs w:val="28"/>
        </w:rPr>
        <w:t xml:space="preserve"> means tax that is levied with regard to goods and services purchased for providing taxable supplies (VAT on purchases</w:t>
      </w:r>
      <w:r>
        <w:rPr>
          <w:sz w:val="28"/>
          <w:szCs w:val="28"/>
        </w:rPr>
        <w:t>)</w:t>
      </w:r>
    </w:p>
    <w:p w14:paraId="4B53AD76" w14:textId="6933B70A" w:rsidR="00C91765" w:rsidRPr="00282E97" w:rsidRDefault="008B427A" w:rsidP="000149DE">
      <w:pPr>
        <w:pStyle w:val="Default"/>
        <w:jc w:val="both"/>
        <w:rPr>
          <w:rFonts w:asciiTheme="minorHAnsi" w:hAnsiTheme="minorHAnsi" w:cstheme="minorHAnsi"/>
          <w:b/>
          <w:sz w:val="28"/>
          <w:szCs w:val="28"/>
        </w:rPr>
      </w:pPr>
      <w:r w:rsidRPr="00282E97">
        <w:rPr>
          <w:rFonts w:asciiTheme="minorHAnsi" w:hAnsiTheme="minorHAnsi" w:cstheme="minorHAnsi"/>
          <w:b/>
          <w:sz w:val="28"/>
          <w:szCs w:val="28"/>
        </w:rPr>
        <w:t>2.</w:t>
      </w:r>
      <w:r w:rsidR="00282E97">
        <w:rPr>
          <w:rFonts w:asciiTheme="minorHAnsi" w:hAnsiTheme="minorHAnsi" w:cstheme="minorHAnsi"/>
          <w:b/>
          <w:sz w:val="28"/>
          <w:szCs w:val="28"/>
        </w:rPr>
        <w:t xml:space="preserve"> </w:t>
      </w:r>
      <w:r w:rsidR="006C0673">
        <w:rPr>
          <w:rFonts w:asciiTheme="minorHAnsi" w:hAnsiTheme="minorHAnsi" w:cstheme="minorHAnsi"/>
          <w:b/>
          <w:sz w:val="28"/>
          <w:szCs w:val="28"/>
        </w:rPr>
        <w:t xml:space="preserve"> </w:t>
      </w:r>
      <w:r w:rsidR="00C91765" w:rsidRPr="00282E97">
        <w:rPr>
          <w:rFonts w:asciiTheme="minorHAnsi" w:hAnsiTheme="minorHAnsi" w:cstheme="minorHAnsi"/>
          <w:b/>
          <w:sz w:val="28"/>
          <w:szCs w:val="28"/>
        </w:rPr>
        <w:t>PURPOSE</w:t>
      </w:r>
    </w:p>
    <w:p w14:paraId="64326693" w14:textId="0B8E0B35" w:rsidR="00943B85" w:rsidRPr="00A677D2" w:rsidRDefault="00DF3CA3" w:rsidP="000149DE">
      <w:pPr>
        <w:pStyle w:val="Default"/>
        <w:numPr>
          <w:ilvl w:val="0"/>
          <w:numId w:val="11"/>
        </w:numPr>
        <w:jc w:val="both"/>
        <w:rPr>
          <w:rFonts w:asciiTheme="minorHAnsi" w:hAnsiTheme="minorHAnsi" w:cstheme="minorHAnsi"/>
          <w:bCs/>
          <w:sz w:val="28"/>
          <w:szCs w:val="28"/>
        </w:rPr>
      </w:pPr>
      <w:r w:rsidRPr="00282E97">
        <w:rPr>
          <w:rFonts w:asciiTheme="minorHAnsi" w:hAnsiTheme="minorHAnsi" w:cstheme="minorHAnsi"/>
          <w:bCs/>
          <w:sz w:val="28"/>
          <w:szCs w:val="28"/>
        </w:rPr>
        <w:t>The policy provides the financial guidelines as specified by the Act</w:t>
      </w:r>
      <w:r w:rsidR="00943B85" w:rsidRPr="00282E97">
        <w:rPr>
          <w:rFonts w:asciiTheme="minorHAnsi" w:hAnsiTheme="minorHAnsi" w:cstheme="minorHAnsi"/>
          <w:bCs/>
          <w:sz w:val="28"/>
          <w:szCs w:val="28"/>
        </w:rPr>
        <w:t xml:space="preserve"> that is applicable when municipality</w:t>
      </w:r>
      <w:r w:rsidRPr="00282E97">
        <w:rPr>
          <w:rFonts w:asciiTheme="minorHAnsi" w:hAnsiTheme="minorHAnsi" w:cstheme="minorHAnsi"/>
          <w:bCs/>
          <w:sz w:val="28"/>
          <w:szCs w:val="28"/>
        </w:rPr>
        <w:t xml:space="preserve"> wants to institute a claim for VAT, the met</w:t>
      </w:r>
      <w:r w:rsidR="00943B85" w:rsidRPr="00282E97">
        <w:rPr>
          <w:rFonts w:asciiTheme="minorHAnsi" w:hAnsiTheme="minorHAnsi" w:cstheme="minorHAnsi"/>
          <w:bCs/>
          <w:sz w:val="28"/>
          <w:szCs w:val="28"/>
        </w:rPr>
        <w:t xml:space="preserve">hod according to which </w:t>
      </w:r>
      <w:r w:rsidRPr="00282E97">
        <w:rPr>
          <w:rFonts w:asciiTheme="minorHAnsi" w:hAnsiTheme="minorHAnsi" w:cstheme="minorHAnsi"/>
          <w:bCs/>
          <w:sz w:val="28"/>
          <w:szCs w:val="28"/>
        </w:rPr>
        <w:t xml:space="preserve">VAT claim percentage is determined and the issuing of invoices. </w:t>
      </w:r>
      <w:r w:rsidRPr="00282E97">
        <w:rPr>
          <w:rFonts w:asciiTheme="minorHAnsi" w:hAnsiTheme="minorHAnsi" w:cstheme="minorHAnsi"/>
          <w:sz w:val="28"/>
          <w:szCs w:val="28"/>
        </w:rPr>
        <w:t>Basic concepts regarding VAT, such as output tax</w:t>
      </w:r>
      <w:r w:rsidR="00943B85" w:rsidRPr="00282E97">
        <w:rPr>
          <w:rFonts w:asciiTheme="minorHAnsi" w:hAnsiTheme="minorHAnsi" w:cstheme="minorHAnsi"/>
          <w:sz w:val="28"/>
          <w:szCs w:val="28"/>
        </w:rPr>
        <w:t>, input tax, taxable supplies and exempt supplies.</w:t>
      </w:r>
    </w:p>
    <w:p w14:paraId="2156D8F6" w14:textId="4C9622AD" w:rsidR="001B3B57" w:rsidRDefault="001B3B57" w:rsidP="000149DE">
      <w:pPr>
        <w:pStyle w:val="Default"/>
        <w:ind w:left="720"/>
        <w:jc w:val="both"/>
        <w:rPr>
          <w:rFonts w:asciiTheme="minorHAnsi" w:hAnsiTheme="minorHAnsi" w:cstheme="minorHAnsi"/>
          <w:bCs/>
          <w:sz w:val="28"/>
          <w:szCs w:val="28"/>
        </w:rPr>
      </w:pPr>
    </w:p>
    <w:p w14:paraId="63509F9B" w14:textId="22706317" w:rsidR="00A677D2" w:rsidRPr="001B3B57" w:rsidRDefault="001B3B57" w:rsidP="000149DE">
      <w:pPr>
        <w:pStyle w:val="Default"/>
        <w:numPr>
          <w:ilvl w:val="0"/>
          <w:numId w:val="11"/>
        </w:numPr>
        <w:jc w:val="both"/>
        <w:rPr>
          <w:rFonts w:asciiTheme="minorHAnsi" w:hAnsiTheme="minorHAnsi" w:cstheme="minorHAnsi"/>
          <w:bCs/>
          <w:sz w:val="28"/>
          <w:szCs w:val="28"/>
        </w:rPr>
      </w:pPr>
      <w:r w:rsidRPr="001B3B57">
        <w:rPr>
          <w:rFonts w:asciiTheme="minorHAnsi" w:hAnsiTheme="minorHAnsi" w:cstheme="minorHAnsi"/>
          <w:sz w:val="28"/>
          <w:szCs w:val="28"/>
        </w:rPr>
        <w:t>To ensure that the entity adheres to all applicable VAT related legislation, and administers its VAT related activities pr</w:t>
      </w:r>
      <w:r>
        <w:rPr>
          <w:rFonts w:asciiTheme="minorHAnsi" w:hAnsiTheme="minorHAnsi" w:cstheme="minorHAnsi"/>
          <w:sz w:val="28"/>
          <w:szCs w:val="28"/>
        </w:rPr>
        <w:t>operly.</w:t>
      </w:r>
    </w:p>
    <w:p w14:paraId="27D7596A" w14:textId="77777777" w:rsidR="00A677D2" w:rsidRPr="001B3B57" w:rsidRDefault="00A677D2" w:rsidP="000149DE">
      <w:pPr>
        <w:pStyle w:val="Default"/>
        <w:jc w:val="both"/>
        <w:rPr>
          <w:rFonts w:asciiTheme="minorHAnsi" w:hAnsiTheme="minorHAnsi" w:cstheme="minorHAnsi"/>
          <w:bCs/>
          <w:sz w:val="28"/>
          <w:szCs w:val="28"/>
        </w:rPr>
      </w:pPr>
    </w:p>
    <w:tbl>
      <w:tblPr>
        <w:tblW w:w="14600" w:type="dxa"/>
        <w:tblInd w:w="-108" w:type="dxa"/>
        <w:tblLook w:val="04A0" w:firstRow="1" w:lastRow="0" w:firstColumn="1" w:lastColumn="0" w:noHBand="0" w:noVBand="1"/>
      </w:tblPr>
      <w:tblGrid>
        <w:gridCol w:w="13428"/>
        <w:gridCol w:w="222"/>
        <w:gridCol w:w="950"/>
      </w:tblGrid>
      <w:tr w:rsidR="00943B85" w:rsidRPr="00282E97" w14:paraId="6AC25531" w14:textId="77777777" w:rsidTr="003551E4">
        <w:trPr>
          <w:gridAfter w:val="1"/>
          <w:wAfter w:w="950" w:type="dxa"/>
          <w:trHeight w:val="300"/>
        </w:trPr>
        <w:tc>
          <w:tcPr>
            <w:tcW w:w="13650" w:type="dxa"/>
            <w:gridSpan w:val="2"/>
            <w:tcBorders>
              <w:top w:val="nil"/>
              <w:left w:val="nil"/>
              <w:bottom w:val="nil"/>
              <w:right w:val="nil"/>
            </w:tcBorders>
            <w:shd w:val="clear" w:color="auto" w:fill="auto"/>
            <w:noWrap/>
            <w:vAlign w:val="bottom"/>
            <w:hideMark/>
          </w:tcPr>
          <w:p w14:paraId="7C960604" w14:textId="77777777" w:rsidR="003551E4" w:rsidRPr="00C6651B" w:rsidRDefault="003551E4" w:rsidP="00C6651B">
            <w:pPr>
              <w:spacing w:after="0" w:line="240" w:lineRule="auto"/>
              <w:jc w:val="both"/>
              <w:rPr>
                <w:rFonts w:eastAsia="Times New Roman" w:cstheme="minorHAnsi"/>
                <w:color w:val="000000"/>
                <w:sz w:val="28"/>
                <w:szCs w:val="28"/>
                <w:lang w:eastAsia="en-ZA"/>
              </w:rPr>
            </w:pPr>
          </w:p>
          <w:p w14:paraId="2271C7E2" w14:textId="77777777" w:rsidR="00943B85" w:rsidRPr="00DD40E1" w:rsidRDefault="00943B85" w:rsidP="000149DE">
            <w:pPr>
              <w:pStyle w:val="ListParagraph"/>
              <w:numPr>
                <w:ilvl w:val="0"/>
                <w:numId w:val="11"/>
              </w:numPr>
              <w:spacing w:after="0" w:line="240" w:lineRule="auto"/>
              <w:jc w:val="both"/>
              <w:rPr>
                <w:rFonts w:eastAsia="Times New Roman" w:cstheme="minorHAnsi"/>
                <w:color w:val="000000"/>
                <w:sz w:val="28"/>
                <w:szCs w:val="28"/>
                <w:lang w:eastAsia="en-ZA"/>
              </w:rPr>
            </w:pPr>
            <w:r w:rsidRPr="00DD40E1">
              <w:rPr>
                <w:rFonts w:eastAsia="Times New Roman" w:cstheme="minorHAnsi"/>
                <w:color w:val="000000"/>
                <w:sz w:val="28"/>
                <w:szCs w:val="28"/>
                <w:lang w:eastAsia="en-ZA"/>
              </w:rPr>
              <w:t>Municipality must</w:t>
            </w:r>
            <w:r w:rsidR="00812861" w:rsidRPr="00DD40E1">
              <w:rPr>
                <w:rFonts w:eastAsia="Times New Roman" w:cstheme="minorHAnsi"/>
                <w:color w:val="000000"/>
                <w:sz w:val="28"/>
                <w:szCs w:val="28"/>
                <w:lang w:eastAsia="en-ZA"/>
              </w:rPr>
              <w:t xml:space="preserve"> ensure that it has</w:t>
            </w:r>
            <w:r w:rsidRPr="00DD40E1">
              <w:rPr>
                <w:rFonts w:eastAsia="Times New Roman" w:cstheme="minorHAnsi"/>
                <w:color w:val="000000"/>
                <w:sz w:val="28"/>
                <w:szCs w:val="28"/>
                <w:lang w:eastAsia="en-ZA"/>
              </w:rPr>
              <w:t xml:space="preserve"> complied with the requirements of</w:t>
            </w:r>
          </w:p>
          <w:p w14:paraId="020DE978" w14:textId="77777777" w:rsidR="00812861" w:rsidRPr="00DD40E1" w:rsidRDefault="00943B85" w:rsidP="000149DE">
            <w:pPr>
              <w:pStyle w:val="ListParagraph"/>
              <w:spacing w:after="0" w:line="240" w:lineRule="auto"/>
              <w:jc w:val="both"/>
              <w:rPr>
                <w:rFonts w:eastAsia="Times New Roman" w:cstheme="minorHAnsi"/>
                <w:color w:val="000000"/>
                <w:sz w:val="28"/>
                <w:szCs w:val="28"/>
                <w:lang w:eastAsia="en-ZA"/>
              </w:rPr>
            </w:pPr>
            <w:r w:rsidRPr="00DD40E1">
              <w:rPr>
                <w:rFonts w:eastAsia="Times New Roman" w:cstheme="minorHAnsi"/>
                <w:color w:val="000000"/>
                <w:sz w:val="28"/>
                <w:szCs w:val="28"/>
                <w:lang w:eastAsia="en-ZA"/>
              </w:rPr>
              <w:t>the VAT Act with regards to submission of the VAT returns</w:t>
            </w:r>
            <w:r w:rsidR="00812861" w:rsidRPr="00DD40E1">
              <w:rPr>
                <w:rFonts w:eastAsia="Times New Roman" w:cstheme="minorHAnsi"/>
                <w:color w:val="000000"/>
                <w:sz w:val="28"/>
                <w:szCs w:val="28"/>
                <w:lang w:eastAsia="en-ZA"/>
              </w:rPr>
              <w:t xml:space="preserve"> to ensure</w:t>
            </w:r>
          </w:p>
        </w:tc>
      </w:tr>
      <w:tr w:rsidR="00943B85" w:rsidRPr="00282E97" w14:paraId="15681B4B" w14:textId="77777777" w:rsidTr="003551E4">
        <w:trPr>
          <w:trHeight w:val="300"/>
        </w:trPr>
        <w:tc>
          <w:tcPr>
            <w:tcW w:w="14600" w:type="dxa"/>
            <w:gridSpan w:val="3"/>
            <w:tcBorders>
              <w:top w:val="nil"/>
              <w:left w:val="nil"/>
              <w:bottom w:val="nil"/>
              <w:right w:val="nil"/>
            </w:tcBorders>
            <w:shd w:val="clear" w:color="auto" w:fill="auto"/>
            <w:noWrap/>
            <w:vAlign w:val="bottom"/>
            <w:hideMark/>
          </w:tcPr>
          <w:p w14:paraId="3C4B2646" w14:textId="77777777" w:rsidR="00943B85" w:rsidRPr="00DD40E1" w:rsidRDefault="00943B85" w:rsidP="000149DE">
            <w:pPr>
              <w:pStyle w:val="ListParagraph"/>
              <w:spacing w:after="0" w:line="240" w:lineRule="auto"/>
              <w:jc w:val="both"/>
              <w:rPr>
                <w:rFonts w:eastAsia="Times New Roman" w:cstheme="minorHAnsi"/>
                <w:color w:val="000000"/>
                <w:sz w:val="28"/>
                <w:szCs w:val="28"/>
                <w:lang w:eastAsia="en-ZA"/>
              </w:rPr>
            </w:pPr>
            <w:r w:rsidRPr="00DD40E1">
              <w:rPr>
                <w:rFonts w:eastAsia="Times New Roman" w:cstheme="minorHAnsi"/>
                <w:color w:val="000000"/>
                <w:sz w:val="28"/>
                <w:szCs w:val="28"/>
                <w:lang w:eastAsia="en-ZA"/>
              </w:rPr>
              <w:t>that the total output VAT declared and total input VAT claimed for</w:t>
            </w:r>
          </w:p>
          <w:p w14:paraId="2A08245F" w14:textId="77777777" w:rsidR="00943B85" w:rsidRPr="00DD40E1" w:rsidRDefault="00943B85" w:rsidP="000149DE">
            <w:pPr>
              <w:pStyle w:val="ListParagraph"/>
              <w:spacing w:after="0" w:line="240" w:lineRule="auto"/>
              <w:jc w:val="both"/>
              <w:rPr>
                <w:rFonts w:eastAsia="Times New Roman" w:cstheme="minorHAnsi"/>
                <w:color w:val="000000"/>
                <w:sz w:val="28"/>
                <w:szCs w:val="28"/>
                <w:lang w:eastAsia="en-ZA"/>
              </w:rPr>
            </w:pPr>
            <w:r w:rsidRPr="00DD40E1">
              <w:rPr>
                <w:rFonts w:eastAsia="Times New Roman" w:cstheme="minorHAnsi"/>
                <w:color w:val="000000"/>
                <w:sz w:val="28"/>
                <w:szCs w:val="28"/>
                <w:lang w:eastAsia="en-ZA"/>
              </w:rPr>
              <w:t>the year, as well as the VAT liability or VAT receivable as disclosed in</w:t>
            </w:r>
            <w:r w:rsidR="00BB30BC" w:rsidRPr="00DD40E1">
              <w:rPr>
                <w:rFonts w:eastAsia="Times New Roman" w:cstheme="minorHAnsi"/>
                <w:color w:val="000000"/>
                <w:sz w:val="28"/>
                <w:szCs w:val="28"/>
                <w:lang w:eastAsia="en-ZA"/>
              </w:rPr>
              <w:t xml:space="preserve"> the</w:t>
            </w:r>
          </w:p>
        </w:tc>
      </w:tr>
      <w:tr w:rsidR="00943B85" w:rsidRPr="00282E97" w14:paraId="375FFF02" w14:textId="77777777" w:rsidTr="003551E4">
        <w:trPr>
          <w:gridAfter w:val="1"/>
          <w:wAfter w:w="950" w:type="dxa"/>
          <w:trHeight w:val="300"/>
        </w:trPr>
        <w:tc>
          <w:tcPr>
            <w:tcW w:w="13428" w:type="dxa"/>
            <w:tcBorders>
              <w:top w:val="nil"/>
              <w:left w:val="nil"/>
              <w:bottom w:val="nil"/>
              <w:right w:val="nil"/>
            </w:tcBorders>
            <w:shd w:val="clear" w:color="auto" w:fill="auto"/>
            <w:noWrap/>
            <w:vAlign w:val="bottom"/>
            <w:hideMark/>
          </w:tcPr>
          <w:p w14:paraId="55EBCA5C" w14:textId="1B5C0AFF" w:rsidR="00AA2589" w:rsidRDefault="00943B85" w:rsidP="000149DE">
            <w:pPr>
              <w:pStyle w:val="ListParagraph"/>
              <w:autoSpaceDE w:val="0"/>
              <w:autoSpaceDN w:val="0"/>
              <w:adjustRightInd w:val="0"/>
              <w:spacing w:after="0" w:line="240" w:lineRule="auto"/>
              <w:jc w:val="both"/>
              <w:rPr>
                <w:rFonts w:eastAsia="Times New Roman" w:cstheme="minorHAnsi"/>
                <w:color w:val="000000"/>
                <w:sz w:val="28"/>
                <w:szCs w:val="28"/>
                <w:lang w:eastAsia="en-ZA"/>
              </w:rPr>
            </w:pPr>
            <w:r w:rsidRPr="00DD40E1">
              <w:rPr>
                <w:rFonts w:eastAsia="Times New Roman" w:cstheme="minorHAnsi"/>
                <w:color w:val="000000"/>
                <w:sz w:val="28"/>
                <w:szCs w:val="28"/>
                <w:lang w:eastAsia="en-ZA"/>
              </w:rPr>
              <w:t>financial statements is reasonable</w:t>
            </w:r>
            <w:r w:rsidR="00BB30BC" w:rsidRPr="00DD40E1">
              <w:rPr>
                <w:rFonts w:eastAsia="Times New Roman" w:cstheme="minorHAnsi"/>
                <w:color w:val="000000"/>
                <w:sz w:val="28"/>
                <w:szCs w:val="28"/>
                <w:lang w:eastAsia="en-ZA"/>
              </w:rPr>
              <w:t>.</w:t>
            </w:r>
          </w:p>
          <w:p w14:paraId="351E98A0" w14:textId="71D2109B" w:rsidR="001B3B57" w:rsidRDefault="001B3B57" w:rsidP="000149DE">
            <w:pPr>
              <w:pStyle w:val="ListParagraph"/>
              <w:autoSpaceDE w:val="0"/>
              <w:autoSpaceDN w:val="0"/>
              <w:adjustRightInd w:val="0"/>
              <w:spacing w:after="0" w:line="240" w:lineRule="auto"/>
              <w:jc w:val="both"/>
              <w:rPr>
                <w:rFonts w:eastAsia="Times New Roman" w:cstheme="minorHAnsi"/>
                <w:color w:val="000000"/>
                <w:sz w:val="28"/>
                <w:szCs w:val="28"/>
                <w:lang w:eastAsia="en-ZA"/>
              </w:rPr>
            </w:pPr>
          </w:p>
          <w:p w14:paraId="22D40C63" w14:textId="02ED6B22" w:rsidR="001B3B57" w:rsidRPr="006C0673" w:rsidRDefault="006C0673" w:rsidP="000149DE">
            <w:pPr>
              <w:pStyle w:val="ListParagraph"/>
              <w:numPr>
                <w:ilvl w:val="0"/>
                <w:numId w:val="17"/>
              </w:numPr>
              <w:autoSpaceDE w:val="0"/>
              <w:autoSpaceDN w:val="0"/>
              <w:adjustRightInd w:val="0"/>
              <w:spacing w:after="0" w:line="240" w:lineRule="auto"/>
              <w:jc w:val="both"/>
              <w:rPr>
                <w:rFonts w:cstheme="minorHAnsi"/>
                <w:b/>
                <w:bCs/>
                <w:color w:val="000000"/>
                <w:sz w:val="28"/>
                <w:szCs w:val="28"/>
              </w:rPr>
            </w:pPr>
            <w:r>
              <w:rPr>
                <w:rFonts w:eastAsia="Times New Roman" w:cstheme="minorHAnsi"/>
                <w:b/>
                <w:bCs/>
                <w:color w:val="000000"/>
                <w:sz w:val="28"/>
                <w:szCs w:val="28"/>
                <w:lang w:eastAsia="en-ZA"/>
              </w:rPr>
              <w:t xml:space="preserve"> </w:t>
            </w:r>
            <w:r w:rsidR="001B3B57" w:rsidRPr="006C0673">
              <w:rPr>
                <w:rFonts w:eastAsia="Times New Roman" w:cstheme="minorHAnsi"/>
                <w:b/>
                <w:bCs/>
                <w:color w:val="000000"/>
                <w:sz w:val="28"/>
                <w:szCs w:val="28"/>
                <w:lang w:eastAsia="en-ZA"/>
              </w:rPr>
              <w:t>Legislative context</w:t>
            </w:r>
          </w:p>
          <w:p w14:paraId="51BF1B84" w14:textId="77777777" w:rsidR="00943B85" w:rsidRPr="00282E97" w:rsidRDefault="00943B85" w:rsidP="000149DE">
            <w:pPr>
              <w:spacing w:after="0" w:line="240" w:lineRule="auto"/>
              <w:jc w:val="both"/>
              <w:rPr>
                <w:rFonts w:eastAsia="Times New Roman" w:cstheme="minorHAnsi"/>
                <w:color w:val="000000"/>
                <w:sz w:val="28"/>
                <w:szCs w:val="28"/>
                <w:lang w:eastAsia="en-ZA"/>
              </w:rPr>
            </w:pPr>
          </w:p>
        </w:tc>
        <w:tc>
          <w:tcPr>
            <w:tcW w:w="222" w:type="dxa"/>
            <w:tcBorders>
              <w:top w:val="nil"/>
              <w:left w:val="nil"/>
              <w:bottom w:val="nil"/>
              <w:right w:val="nil"/>
            </w:tcBorders>
            <w:shd w:val="clear" w:color="auto" w:fill="auto"/>
            <w:noWrap/>
            <w:vAlign w:val="bottom"/>
            <w:hideMark/>
          </w:tcPr>
          <w:p w14:paraId="2B8F669A" w14:textId="77777777" w:rsidR="00943B85" w:rsidRPr="00DD40E1" w:rsidRDefault="00943B85" w:rsidP="000149DE">
            <w:pPr>
              <w:pStyle w:val="ListParagraph"/>
              <w:numPr>
                <w:ilvl w:val="0"/>
                <w:numId w:val="11"/>
              </w:numPr>
              <w:spacing w:after="0" w:line="240" w:lineRule="auto"/>
              <w:jc w:val="both"/>
              <w:rPr>
                <w:rFonts w:eastAsia="Times New Roman" w:cstheme="minorHAnsi"/>
                <w:color w:val="000000"/>
                <w:sz w:val="28"/>
                <w:szCs w:val="28"/>
                <w:lang w:eastAsia="en-ZA"/>
              </w:rPr>
            </w:pPr>
          </w:p>
        </w:tc>
      </w:tr>
    </w:tbl>
    <w:p w14:paraId="0882AAB0" w14:textId="10FE5521" w:rsidR="006C0673" w:rsidRPr="006C0673" w:rsidRDefault="001B3B57" w:rsidP="000149DE">
      <w:pPr>
        <w:pStyle w:val="Default"/>
        <w:ind w:left="720"/>
        <w:jc w:val="both"/>
        <w:rPr>
          <w:rFonts w:asciiTheme="minorHAnsi" w:hAnsiTheme="minorHAnsi" w:cstheme="minorHAnsi"/>
          <w:sz w:val="28"/>
          <w:szCs w:val="28"/>
        </w:rPr>
      </w:pPr>
      <w:r w:rsidRPr="006C0673">
        <w:rPr>
          <w:rFonts w:asciiTheme="minorHAnsi" w:hAnsiTheme="minorHAnsi" w:cstheme="minorHAnsi"/>
          <w:sz w:val="28"/>
          <w:szCs w:val="28"/>
        </w:rPr>
        <w:t>In terms of Section 95(c) (</w:t>
      </w:r>
      <w:proofErr w:type="spellStart"/>
      <w:r w:rsidRPr="006C0673">
        <w:rPr>
          <w:rFonts w:asciiTheme="minorHAnsi" w:hAnsiTheme="minorHAnsi" w:cstheme="minorHAnsi"/>
          <w:sz w:val="28"/>
          <w:szCs w:val="28"/>
        </w:rPr>
        <w:t>i</w:t>
      </w:r>
      <w:proofErr w:type="spellEnd"/>
      <w:r w:rsidRPr="006C0673">
        <w:rPr>
          <w:rFonts w:asciiTheme="minorHAnsi" w:hAnsiTheme="minorHAnsi" w:cstheme="minorHAnsi"/>
          <w:sz w:val="28"/>
          <w:szCs w:val="28"/>
        </w:rPr>
        <w:t xml:space="preserve">) of the Municipal Finance Management Act, 56 of 2003, as amended, the Accounting Officer of a municipal entity is responsible for managing the financial administration of the entity, and must for this purpose take all reasonable steps to ensure that the entity has and maintains effective, efficient and transparent systems of financial and risk management and internal control. Paragraph 2.6 of Chapter 2 for </w:t>
      </w:r>
      <w:r w:rsidRPr="006C0673">
        <w:rPr>
          <w:rFonts w:asciiTheme="minorHAnsi" w:hAnsiTheme="minorHAnsi" w:cstheme="minorHAnsi"/>
          <w:sz w:val="28"/>
          <w:szCs w:val="28"/>
        </w:rPr>
        <w:lastRenderedPageBreak/>
        <w:t>VAT 419 guide, stipulates that a municipal entity is an entity created by one or more municipality to carry on certain activities which would otherwise be conducted by the municipalities concerned, it will have to register separately for VAT if it makes taxable supplies in excess of the compulsory VAT registration threshold. As a general rule a municipal entity does not conduct activities on behalf of municipality, but rather for its own account. Refer to paragraph 7.5 of the Vat 419 guide for more details on municipal entities</w:t>
      </w:r>
    </w:p>
    <w:p w14:paraId="78C6BA21" w14:textId="77777777" w:rsidR="0025579A" w:rsidRPr="006C0673" w:rsidRDefault="0025579A" w:rsidP="000149DE">
      <w:pPr>
        <w:pStyle w:val="Default"/>
        <w:jc w:val="both"/>
        <w:rPr>
          <w:rFonts w:asciiTheme="minorHAnsi" w:hAnsiTheme="minorHAnsi" w:cstheme="minorHAnsi"/>
          <w:sz w:val="28"/>
          <w:szCs w:val="28"/>
        </w:rPr>
      </w:pPr>
    </w:p>
    <w:p w14:paraId="7ADF6BFC" w14:textId="42A4D94E" w:rsidR="0025579A" w:rsidRPr="004F3A3C" w:rsidRDefault="006C0673" w:rsidP="000149DE">
      <w:pPr>
        <w:pStyle w:val="Default"/>
        <w:jc w:val="both"/>
        <w:rPr>
          <w:rFonts w:asciiTheme="minorHAnsi" w:hAnsiTheme="minorHAnsi" w:cstheme="minorHAnsi"/>
          <w:b/>
          <w:sz w:val="28"/>
          <w:szCs w:val="28"/>
        </w:rPr>
      </w:pPr>
      <w:r>
        <w:rPr>
          <w:rFonts w:asciiTheme="minorHAnsi" w:hAnsiTheme="minorHAnsi" w:cstheme="minorHAnsi"/>
          <w:b/>
          <w:sz w:val="28"/>
          <w:szCs w:val="28"/>
        </w:rPr>
        <w:t xml:space="preserve"> 4</w:t>
      </w:r>
      <w:r w:rsidR="004F3A3C" w:rsidRPr="004F3A3C">
        <w:rPr>
          <w:rFonts w:asciiTheme="minorHAnsi" w:hAnsiTheme="minorHAnsi" w:cstheme="minorHAnsi"/>
          <w:b/>
          <w:sz w:val="28"/>
          <w:szCs w:val="28"/>
        </w:rPr>
        <w:t xml:space="preserve"> </w:t>
      </w:r>
      <w:r>
        <w:rPr>
          <w:rFonts w:asciiTheme="minorHAnsi" w:hAnsiTheme="minorHAnsi" w:cstheme="minorHAnsi"/>
          <w:b/>
          <w:sz w:val="28"/>
          <w:szCs w:val="28"/>
        </w:rPr>
        <w:t xml:space="preserve">      </w:t>
      </w:r>
      <w:r w:rsidR="0025579A" w:rsidRPr="004F3A3C">
        <w:rPr>
          <w:rFonts w:asciiTheme="minorHAnsi" w:hAnsiTheme="minorHAnsi" w:cstheme="minorHAnsi"/>
          <w:b/>
          <w:sz w:val="28"/>
          <w:szCs w:val="28"/>
        </w:rPr>
        <w:t>REGISTRATION OF VAT</w:t>
      </w:r>
    </w:p>
    <w:p w14:paraId="46A2E9BD" w14:textId="77777777" w:rsidR="00B73BA4" w:rsidRPr="004F3A3C" w:rsidRDefault="00B73BA4" w:rsidP="000149DE">
      <w:pPr>
        <w:pStyle w:val="Default"/>
        <w:ind w:firstLine="720"/>
        <w:jc w:val="both"/>
        <w:rPr>
          <w:rFonts w:asciiTheme="minorHAnsi" w:hAnsiTheme="minorHAnsi" w:cstheme="minorHAnsi"/>
          <w:sz w:val="28"/>
          <w:szCs w:val="28"/>
        </w:rPr>
      </w:pPr>
      <w:r w:rsidRPr="004F3A3C">
        <w:rPr>
          <w:rFonts w:asciiTheme="minorHAnsi" w:hAnsiTheme="minorHAnsi" w:cstheme="minorHAnsi"/>
          <w:sz w:val="28"/>
          <w:szCs w:val="28"/>
        </w:rPr>
        <w:t>The municipality is register</w:t>
      </w:r>
      <w:r w:rsidR="004F3A3C">
        <w:rPr>
          <w:rFonts w:asciiTheme="minorHAnsi" w:hAnsiTheme="minorHAnsi" w:cstheme="minorHAnsi"/>
          <w:sz w:val="28"/>
          <w:szCs w:val="28"/>
        </w:rPr>
        <w:t>ed for the payment of VAT on a</w:t>
      </w:r>
      <w:r w:rsidRPr="004F3A3C">
        <w:rPr>
          <w:rFonts w:asciiTheme="minorHAnsi" w:hAnsiTheme="minorHAnsi" w:cstheme="minorHAnsi"/>
          <w:sz w:val="28"/>
          <w:szCs w:val="28"/>
        </w:rPr>
        <w:t xml:space="preserve"> cash basis.</w:t>
      </w:r>
    </w:p>
    <w:p w14:paraId="72EDC6EE" w14:textId="77777777" w:rsidR="0025579A" w:rsidRPr="004F3A3C" w:rsidRDefault="0025579A" w:rsidP="000149DE">
      <w:pPr>
        <w:pStyle w:val="Default"/>
        <w:jc w:val="both"/>
        <w:rPr>
          <w:rFonts w:asciiTheme="minorHAnsi" w:hAnsiTheme="minorHAnsi" w:cstheme="minorHAnsi"/>
          <w:b/>
          <w:sz w:val="28"/>
          <w:szCs w:val="28"/>
        </w:rPr>
      </w:pPr>
    </w:p>
    <w:p w14:paraId="24A30BC5" w14:textId="6AC1B3DD" w:rsidR="00CC525A" w:rsidRPr="004F3A3C" w:rsidRDefault="000149DE" w:rsidP="000149DE">
      <w:pPr>
        <w:pStyle w:val="Default"/>
        <w:numPr>
          <w:ilvl w:val="0"/>
          <w:numId w:val="21"/>
        </w:numPr>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DF3CA3" w:rsidRPr="004F3A3C">
        <w:rPr>
          <w:rFonts w:asciiTheme="minorHAnsi" w:hAnsiTheme="minorHAnsi" w:cstheme="minorHAnsi"/>
          <w:b/>
          <w:bCs/>
          <w:sz w:val="28"/>
          <w:szCs w:val="28"/>
        </w:rPr>
        <w:t xml:space="preserve">OUTPUT TAX </w:t>
      </w:r>
    </w:p>
    <w:p w14:paraId="5CCE4B31" w14:textId="402BC73C" w:rsidR="00CC525A" w:rsidRDefault="00CC525A" w:rsidP="000149DE">
      <w:pPr>
        <w:pStyle w:val="Default"/>
        <w:ind w:left="360"/>
        <w:jc w:val="both"/>
        <w:rPr>
          <w:rFonts w:asciiTheme="minorHAnsi" w:hAnsiTheme="minorHAnsi" w:cstheme="minorHAnsi"/>
          <w:sz w:val="28"/>
          <w:szCs w:val="28"/>
        </w:rPr>
      </w:pPr>
      <w:r>
        <w:rPr>
          <w:rFonts w:asciiTheme="minorHAnsi" w:hAnsiTheme="minorHAnsi" w:cstheme="minorHAnsi"/>
          <w:sz w:val="28"/>
          <w:szCs w:val="28"/>
        </w:rPr>
        <w:t xml:space="preserve"> </w:t>
      </w:r>
      <w:r w:rsidR="00DF3CA3" w:rsidRPr="004F3A3C">
        <w:rPr>
          <w:rFonts w:asciiTheme="minorHAnsi" w:hAnsiTheme="minorHAnsi" w:cstheme="minorHAnsi"/>
          <w:sz w:val="28"/>
          <w:szCs w:val="28"/>
        </w:rPr>
        <w:t>Output tax is the tax levied when a busin</w:t>
      </w:r>
      <w:r w:rsidR="00BB30BC" w:rsidRPr="004F3A3C">
        <w:rPr>
          <w:rFonts w:asciiTheme="minorHAnsi" w:hAnsiTheme="minorHAnsi" w:cstheme="minorHAnsi"/>
          <w:sz w:val="28"/>
          <w:szCs w:val="28"/>
        </w:rPr>
        <w:t>ess provides taxable supplies</w:t>
      </w:r>
      <w:r w:rsidR="00DF3CA3" w:rsidRPr="004F3A3C">
        <w:rPr>
          <w:rFonts w:asciiTheme="minorHAnsi" w:hAnsiTheme="minorHAnsi" w:cstheme="minorHAnsi"/>
          <w:sz w:val="28"/>
          <w:szCs w:val="28"/>
        </w:rPr>
        <w:t xml:space="preserve"> (VAT </w:t>
      </w:r>
      <w:r>
        <w:rPr>
          <w:rFonts w:asciiTheme="minorHAnsi" w:hAnsiTheme="minorHAnsi" w:cstheme="minorHAnsi"/>
          <w:sz w:val="28"/>
          <w:szCs w:val="28"/>
        </w:rPr>
        <w:t xml:space="preserve"> </w:t>
      </w:r>
    </w:p>
    <w:p w14:paraId="266BE879" w14:textId="0B790988" w:rsidR="00DF3CA3" w:rsidRPr="004F3A3C" w:rsidRDefault="00DF3CA3" w:rsidP="000149DE">
      <w:pPr>
        <w:pStyle w:val="Default"/>
        <w:ind w:left="360"/>
        <w:jc w:val="both"/>
        <w:rPr>
          <w:rFonts w:asciiTheme="minorHAnsi" w:hAnsiTheme="minorHAnsi" w:cstheme="minorHAnsi"/>
          <w:sz w:val="28"/>
          <w:szCs w:val="28"/>
        </w:rPr>
      </w:pPr>
      <w:r w:rsidRPr="004F3A3C">
        <w:rPr>
          <w:rFonts w:asciiTheme="minorHAnsi" w:hAnsiTheme="minorHAnsi" w:cstheme="minorHAnsi"/>
          <w:sz w:val="28"/>
          <w:szCs w:val="28"/>
        </w:rPr>
        <w:t xml:space="preserve">on sales). </w:t>
      </w:r>
    </w:p>
    <w:p w14:paraId="14C234F7" w14:textId="77777777" w:rsidR="00CC4C67" w:rsidRPr="004F3A3C" w:rsidRDefault="00CC4C67" w:rsidP="000149DE">
      <w:pPr>
        <w:pStyle w:val="Default"/>
        <w:jc w:val="both"/>
        <w:rPr>
          <w:rFonts w:asciiTheme="minorHAnsi" w:hAnsiTheme="minorHAnsi" w:cstheme="minorHAnsi"/>
          <w:sz w:val="28"/>
          <w:szCs w:val="28"/>
        </w:rPr>
      </w:pPr>
    </w:p>
    <w:p w14:paraId="79769462" w14:textId="6F41CB42" w:rsidR="00DF3CA3" w:rsidRPr="004F3A3C" w:rsidRDefault="00DF3CA3" w:rsidP="000149DE">
      <w:pPr>
        <w:pStyle w:val="Default"/>
        <w:numPr>
          <w:ilvl w:val="0"/>
          <w:numId w:val="21"/>
        </w:numPr>
        <w:jc w:val="both"/>
        <w:rPr>
          <w:rFonts w:asciiTheme="minorHAnsi" w:hAnsiTheme="minorHAnsi" w:cstheme="minorHAnsi"/>
          <w:sz w:val="28"/>
          <w:szCs w:val="28"/>
        </w:rPr>
      </w:pPr>
      <w:r w:rsidRPr="004F3A3C">
        <w:rPr>
          <w:rFonts w:asciiTheme="minorHAnsi" w:hAnsiTheme="minorHAnsi" w:cstheme="minorHAnsi"/>
          <w:b/>
          <w:bCs/>
          <w:sz w:val="28"/>
          <w:szCs w:val="28"/>
        </w:rPr>
        <w:t xml:space="preserve">INPUT TAX </w:t>
      </w:r>
    </w:p>
    <w:p w14:paraId="55277DB2" w14:textId="710D9B15" w:rsidR="00DF3CA3" w:rsidRPr="004F3A3C" w:rsidRDefault="00CC525A" w:rsidP="000149DE">
      <w:pPr>
        <w:pStyle w:val="Default"/>
        <w:jc w:val="both"/>
        <w:rPr>
          <w:rFonts w:asciiTheme="minorHAnsi" w:hAnsiTheme="minorHAnsi" w:cstheme="minorHAnsi"/>
          <w:sz w:val="28"/>
          <w:szCs w:val="28"/>
        </w:rPr>
      </w:pPr>
      <w:r>
        <w:rPr>
          <w:rFonts w:asciiTheme="minorHAnsi" w:hAnsiTheme="minorHAnsi" w:cstheme="minorHAnsi"/>
          <w:sz w:val="28"/>
          <w:szCs w:val="28"/>
        </w:rPr>
        <w:t xml:space="preserve"> </w:t>
      </w:r>
      <w:r w:rsidR="00DF3CA3" w:rsidRPr="004F3A3C">
        <w:rPr>
          <w:rFonts w:asciiTheme="minorHAnsi" w:hAnsiTheme="minorHAnsi" w:cstheme="minorHAnsi"/>
          <w:sz w:val="28"/>
          <w:szCs w:val="28"/>
        </w:rPr>
        <w:t xml:space="preserve">Input tax is the tax levied with regard to goods and services purchased </w:t>
      </w:r>
      <w:r w:rsidR="000149DE">
        <w:rPr>
          <w:rFonts w:asciiTheme="minorHAnsi" w:hAnsiTheme="minorHAnsi" w:cstheme="minorHAnsi"/>
          <w:sz w:val="28"/>
          <w:szCs w:val="28"/>
        </w:rPr>
        <w:t xml:space="preserve">  </w:t>
      </w:r>
      <w:r w:rsidR="00DF3CA3" w:rsidRPr="004F3A3C">
        <w:rPr>
          <w:rFonts w:asciiTheme="minorHAnsi" w:hAnsiTheme="minorHAnsi" w:cstheme="minorHAnsi"/>
          <w:sz w:val="28"/>
          <w:szCs w:val="28"/>
        </w:rPr>
        <w:t xml:space="preserve">for providing taxable purveyances (VAT on purchases). </w:t>
      </w:r>
    </w:p>
    <w:p w14:paraId="670DE682" w14:textId="77777777" w:rsidR="00CC4C67" w:rsidRPr="004F3A3C" w:rsidRDefault="00CC4C67" w:rsidP="000149DE">
      <w:pPr>
        <w:pStyle w:val="Default"/>
        <w:jc w:val="both"/>
        <w:rPr>
          <w:rFonts w:asciiTheme="minorHAnsi" w:hAnsiTheme="minorHAnsi" w:cstheme="minorHAnsi"/>
          <w:sz w:val="28"/>
          <w:szCs w:val="28"/>
        </w:rPr>
      </w:pPr>
    </w:p>
    <w:p w14:paraId="1B51090F" w14:textId="42279AD0" w:rsidR="00DF3CA3" w:rsidRPr="004F3A3C" w:rsidRDefault="006C0673" w:rsidP="000149DE">
      <w:pPr>
        <w:pStyle w:val="Default"/>
        <w:jc w:val="both"/>
        <w:rPr>
          <w:rFonts w:asciiTheme="minorHAnsi" w:hAnsiTheme="minorHAnsi" w:cstheme="minorHAnsi"/>
          <w:sz w:val="28"/>
          <w:szCs w:val="28"/>
        </w:rPr>
      </w:pPr>
      <w:r>
        <w:rPr>
          <w:rFonts w:asciiTheme="minorHAnsi" w:hAnsiTheme="minorHAnsi" w:cstheme="minorHAnsi"/>
          <w:b/>
          <w:bCs/>
          <w:sz w:val="28"/>
          <w:szCs w:val="28"/>
        </w:rPr>
        <w:t>7</w:t>
      </w:r>
      <w:r w:rsidR="004F3A3C">
        <w:rPr>
          <w:rFonts w:asciiTheme="minorHAnsi" w:hAnsiTheme="minorHAnsi" w:cstheme="minorHAnsi"/>
          <w:b/>
          <w:bCs/>
          <w:sz w:val="28"/>
          <w:szCs w:val="28"/>
        </w:rPr>
        <w:t xml:space="preserve">. </w:t>
      </w:r>
      <w:r w:rsidR="00DF3CA3" w:rsidRPr="004F3A3C">
        <w:rPr>
          <w:rFonts w:asciiTheme="minorHAnsi" w:hAnsiTheme="minorHAnsi" w:cstheme="minorHAnsi"/>
          <w:b/>
          <w:bCs/>
          <w:sz w:val="28"/>
          <w:szCs w:val="28"/>
        </w:rPr>
        <w:t xml:space="preserve">EXEMPT DELIVERIES </w:t>
      </w:r>
    </w:p>
    <w:p w14:paraId="0ED53348" w14:textId="77777777" w:rsidR="00DF3CA3" w:rsidRPr="004F3A3C" w:rsidRDefault="00DF3CA3" w:rsidP="000149DE">
      <w:pPr>
        <w:pStyle w:val="Default"/>
        <w:jc w:val="both"/>
        <w:rPr>
          <w:rFonts w:asciiTheme="minorHAnsi" w:hAnsiTheme="minorHAnsi" w:cstheme="minorHAnsi"/>
          <w:sz w:val="28"/>
          <w:szCs w:val="28"/>
        </w:rPr>
      </w:pPr>
      <w:r w:rsidRPr="004F3A3C">
        <w:rPr>
          <w:rFonts w:asciiTheme="minorHAnsi" w:hAnsiTheme="minorHAnsi" w:cstheme="minorHAnsi"/>
          <w:sz w:val="28"/>
          <w:szCs w:val="28"/>
        </w:rPr>
        <w:t xml:space="preserve">The provision of some goods and services is exempt from VAT. Input tax with regard to such purchases is not reclaimable. Educational services and donations, for instance, are exempt from VAT. </w:t>
      </w:r>
    </w:p>
    <w:p w14:paraId="241D18CA" w14:textId="77777777" w:rsidR="00C91765" w:rsidRPr="004F3A3C" w:rsidRDefault="00C91765" w:rsidP="000149DE">
      <w:pPr>
        <w:pStyle w:val="Default"/>
        <w:jc w:val="both"/>
        <w:rPr>
          <w:rFonts w:asciiTheme="minorHAnsi" w:hAnsiTheme="minorHAnsi" w:cstheme="minorHAnsi"/>
          <w:sz w:val="28"/>
          <w:szCs w:val="28"/>
        </w:rPr>
      </w:pPr>
    </w:p>
    <w:p w14:paraId="0B4CC9BD" w14:textId="0188C192" w:rsidR="00C91765" w:rsidRPr="004F3A3C" w:rsidRDefault="00CC525A" w:rsidP="000149DE">
      <w:pPr>
        <w:pStyle w:val="Default"/>
        <w:jc w:val="both"/>
        <w:rPr>
          <w:rFonts w:asciiTheme="minorHAnsi" w:hAnsiTheme="minorHAnsi" w:cstheme="minorHAnsi"/>
          <w:b/>
          <w:sz w:val="28"/>
          <w:szCs w:val="28"/>
        </w:rPr>
      </w:pPr>
      <w:r>
        <w:rPr>
          <w:rFonts w:asciiTheme="minorHAnsi" w:hAnsiTheme="minorHAnsi" w:cstheme="minorHAnsi"/>
          <w:b/>
          <w:sz w:val="28"/>
          <w:szCs w:val="28"/>
        </w:rPr>
        <w:t>8</w:t>
      </w:r>
      <w:r w:rsidR="004F3A3C">
        <w:rPr>
          <w:rFonts w:asciiTheme="minorHAnsi" w:hAnsiTheme="minorHAnsi" w:cstheme="minorHAnsi"/>
          <w:b/>
          <w:sz w:val="28"/>
          <w:szCs w:val="28"/>
        </w:rPr>
        <w:t xml:space="preserve">. </w:t>
      </w:r>
      <w:r w:rsidR="00C91765" w:rsidRPr="004F3A3C">
        <w:rPr>
          <w:rFonts w:asciiTheme="minorHAnsi" w:hAnsiTheme="minorHAnsi" w:cstheme="minorHAnsi"/>
          <w:b/>
          <w:sz w:val="28"/>
          <w:szCs w:val="28"/>
        </w:rPr>
        <w:t>ZERO RATED</w:t>
      </w:r>
    </w:p>
    <w:p w14:paraId="1BE40EA9" w14:textId="77777777" w:rsidR="006D6A77" w:rsidRPr="004F3A3C" w:rsidRDefault="006D6A77" w:rsidP="000149DE">
      <w:pPr>
        <w:pStyle w:val="Default"/>
        <w:jc w:val="both"/>
        <w:rPr>
          <w:rFonts w:asciiTheme="minorHAnsi" w:hAnsiTheme="minorHAnsi" w:cstheme="minorHAnsi"/>
          <w:sz w:val="28"/>
          <w:szCs w:val="28"/>
        </w:rPr>
      </w:pPr>
    </w:p>
    <w:p w14:paraId="17132950" w14:textId="77777777" w:rsidR="006D6A77" w:rsidRPr="004F3A3C" w:rsidRDefault="006D6A77" w:rsidP="000149DE">
      <w:pPr>
        <w:pStyle w:val="Default"/>
        <w:jc w:val="both"/>
        <w:rPr>
          <w:rFonts w:asciiTheme="minorHAnsi" w:hAnsiTheme="minorHAnsi" w:cstheme="minorHAnsi"/>
          <w:sz w:val="28"/>
          <w:szCs w:val="28"/>
        </w:rPr>
      </w:pPr>
      <w:r w:rsidRPr="004F3A3C">
        <w:rPr>
          <w:rFonts w:asciiTheme="minorHAnsi" w:hAnsiTheme="minorHAnsi" w:cstheme="minorHAnsi"/>
          <w:sz w:val="28"/>
          <w:szCs w:val="28"/>
          <w:u w:val="single"/>
          <w:lang w:val="en-US"/>
        </w:rPr>
        <w:t>The following goods and services are zero-rated</w:t>
      </w:r>
      <w:r w:rsidRPr="004F3A3C">
        <w:rPr>
          <w:rFonts w:asciiTheme="minorHAnsi" w:hAnsiTheme="minorHAnsi" w:cstheme="minorHAnsi"/>
          <w:sz w:val="28"/>
          <w:szCs w:val="28"/>
          <w:lang w:val="en-US"/>
        </w:rPr>
        <w:t>:</w:t>
      </w:r>
    </w:p>
    <w:p w14:paraId="55249337" w14:textId="77777777" w:rsidR="00E43D8A" w:rsidRPr="004F3A3C" w:rsidRDefault="00242B50" w:rsidP="000149DE">
      <w:pPr>
        <w:pStyle w:val="Default"/>
        <w:numPr>
          <w:ilvl w:val="0"/>
          <w:numId w:val="4"/>
        </w:numPr>
        <w:jc w:val="both"/>
        <w:rPr>
          <w:rFonts w:asciiTheme="minorHAnsi" w:hAnsiTheme="minorHAnsi" w:cstheme="minorHAnsi"/>
          <w:sz w:val="28"/>
          <w:szCs w:val="28"/>
        </w:rPr>
      </w:pPr>
      <w:r w:rsidRPr="004F3A3C">
        <w:rPr>
          <w:rFonts w:asciiTheme="minorHAnsi" w:hAnsiTheme="minorHAnsi" w:cstheme="minorHAnsi"/>
          <w:sz w:val="28"/>
          <w:szCs w:val="28"/>
          <w:lang w:val="en-US"/>
        </w:rPr>
        <w:t>Exports</w:t>
      </w:r>
    </w:p>
    <w:p w14:paraId="773084D0" w14:textId="77777777" w:rsidR="00BB30BC" w:rsidRPr="004F3A3C" w:rsidRDefault="00242B50" w:rsidP="000149DE">
      <w:pPr>
        <w:pStyle w:val="Default"/>
        <w:numPr>
          <w:ilvl w:val="0"/>
          <w:numId w:val="5"/>
        </w:numPr>
        <w:jc w:val="both"/>
        <w:rPr>
          <w:rFonts w:asciiTheme="minorHAnsi" w:hAnsiTheme="minorHAnsi" w:cstheme="minorHAnsi"/>
          <w:sz w:val="28"/>
          <w:szCs w:val="28"/>
        </w:rPr>
      </w:pPr>
      <w:r w:rsidRPr="004F3A3C">
        <w:rPr>
          <w:rFonts w:asciiTheme="minorHAnsi" w:hAnsiTheme="minorHAnsi" w:cstheme="minorHAnsi"/>
          <w:sz w:val="28"/>
          <w:szCs w:val="28"/>
          <w:lang w:val="en-US"/>
        </w:rPr>
        <w:t>19 basic food items</w:t>
      </w:r>
      <w:r w:rsidR="00BB30BC" w:rsidRPr="004F3A3C">
        <w:rPr>
          <w:rFonts w:asciiTheme="minorHAnsi" w:hAnsiTheme="minorHAnsi" w:cstheme="minorHAnsi"/>
          <w:sz w:val="28"/>
          <w:szCs w:val="28"/>
          <w:lang w:val="en-US"/>
        </w:rPr>
        <w:t>(</w:t>
      </w:r>
      <w:r w:rsidR="00BB30BC" w:rsidRPr="004F3A3C">
        <w:rPr>
          <w:rFonts w:asciiTheme="minorHAnsi" w:hAnsiTheme="minorHAnsi" w:cstheme="minorHAnsi"/>
          <w:sz w:val="28"/>
          <w:szCs w:val="28"/>
          <w:lang w:val="en-GB"/>
        </w:rPr>
        <w:t>Brown bread, Maize meal.</w:t>
      </w:r>
      <w:r w:rsidR="00BB30BC" w:rsidRPr="004F3A3C">
        <w:rPr>
          <w:rFonts w:asciiTheme="minorHAnsi" w:hAnsiTheme="minorHAnsi" w:cstheme="minorHAnsi"/>
          <w:sz w:val="28"/>
          <w:szCs w:val="28"/>
        </w:rPr>
        <w:t xml:space="preserve">, </w:t>
      </w:r>
      <w:r w:rsidR="00BB30BC" w:rsidRPr="004F3A3C">
        <w:rPr>
          <w:rFonts w:asciiTheme="minorHAnsi" w:hAnsiTheme="minorHAnsi" w:cstheme="minorHAnsi"/>
          <w:sz w:val="28"/>
          <w:szCs w:val="28"/>
          <w:lang w:val="en-GB"/>
        </w:rPr>
        <w:t>Samp.</w:t>
      </w:r>
      <w:r w:rsidR="00BB30BC" w:rsidRPr="004F3A3C">
        <w:rPr>
          <w:rFonts w:asciiTheme="minorHAnsi" w:hAnsiTheme="minorHAnsi" w:cstheme="minorHAnsi"/>
          <w:sz w:val="28"/>
          <w:szCs w:val="28"/>
        </w:rPr>
        <w:t xml:space="preserve">, </w:t>
      </w:r>
      <w:r w:rsidR="00BB30BC" w:rsidRPr="004F3A3C">
        <w:rPr>
          <w:rFonts w:asciiTheme="minorHAnsi" w:hAnsiTheme="minorHAnsi" w:cstheme="minorHAnsi"/>
          <w:sz w:val="28"/>
          <w:szCs w:val="28"/>
          <w:lang w:val="en-GB"/>
        </w:rPr>
        <w:t>Mealie rice.</w:t>
      </w:r>
      <w:r w:rsidR="00BB30BC" w:rsidRPr="004F3A3C">
        <w:rPr>
          <w:rFonts w:asciiTheme="minorHAnsi" w:hAnsiTheme="minorHAnsi" w:cstheme="minorHAnsi"/>
          <w:sz w:val="28"/>
          <w:szCs w:val="28"/>
        </w:rPr>
        <w:t xml:space="preserve">, </w:t>
      </w:r>
      <w:r w:rsidR="00BB30BC" w:rsidRPr="004F3A3C">
        <w:rPr>
          <w:rFonts w:asciiTheme="minorHAnsi" w:hAnsiTheme="minorHAnsi" w:cstheme="minorHAnsi"/>
          <w:sz w:val="28"/>
          <w:szCs w:val="28"/>
          <w:lang w:val="en-GB"/>
        </w:rPr>
        <w:t>Dried mealies.</w:t>
      </w:r>
      <w:r w:rsidR="00BB30BC" w:rsidRPr="004F3A3C">
        <w:rPr>
          <w:rFonts w:asciiTheme="minorHAnsi" w:hAnsiTheme="minorHAnsi" w:cstheme="minorHAnsi"/>
          <w:sz w:val="28"/>
          <w:szCs w:val="28"/>
        </w:rPr>
        <w:t xml:space="preserve">, </w:t>
      </w:r>
      <w:r w:rsidR="00BB30BC" w:rsidRPr="004F3A3C">
        <w:rPr>
          <w:rFonts w:asciiTheme="minorHAnsi" w:hAnsiTheme="minorHAnsi" w:cstheme="minorHAnsi"/>
          <w:sz w:val="28"/>
          <w:szCs w:val="28"/>
          <w:lang w:val="en-GB"/>
        </w:rPr>
        <w:t>Dried beans, Lentils.</w:t>
      </w:r>
      <w:r w:rsidR="00BB30BC" w:rsidRPr="004F3A3C">
        <w:rPr>
          <w:rFonts w:asciiTheme="minorHAnsi" w:hAnsiTheme="minorHAnsi" w:cstheme="minorHAnsi"/>
          <w:sz w:val="28"/>
          <w:szCs w:val="28"/>
        </w:rPr>
        <w:t xml:space="preserve">, </w:t>
      </w:r>
      <w:r w:rsidR="00BB30BC" w:rsidRPr="004F3A3C">
        <w:rPr>
          <w:rFonts w:asciiTheme="minorHAnsi" w:hAnsiTheme="minorHAnsi" w:cstheme="minorHAnsi"/>
          <w:sz w:val="28"/>
          <w:szCs w:val="28"/>
          <w:lang w:val="en-GB"/>
        </w:rPr>
        <w:t xml:space="preserve">Pilchards/sardinella in tins, Milk </w:t>
      </w:r>
      <w:proofErr w:type="spellStart"/>
      <w:r w:rsidR="00BB30BC" w:rsidRPr="004F3A3C">
        <w:rPr>
          <w:rFonts w:asciiTheme="minorHAnsi" w:hAnsiTheme="minorHAnsi" w:cstheme="minorHAnsi"/>
          <w:sz w:val="28"/>
          <w:szCs w:val="28"/>
          <w:lang w:val="en-GB"/>
        </w:rPr>
        <w:t>powder.</w:t>
      </w:r>
      <w:r w:rsidR="0015321F" w:rsidRPr="004F3A3C">
        <w:rPr>
          <w:rFonts w:asciiTheme="minorHAnsi" w:hAnsiTheme="minorHAnsi" w:cstheme="minorHAnsi"/>
          <w:sz w:val="28"/>
          <w:szCs w:val="28"/>
          <w:lang w:val="en-GB"/>
        </w:rPr>
        <w:t>Dairy</w:t>
      </w:r>
      <w:proofErr w:type="spellEnd"/>
      <w:r w:rsidR="0015321F" w:rsidRPr="004F3A3C">
        <w:rPr>
          <w:rFonts w:asciiTheme="minorHAnsi" w:hAnsiTheme="minorHAnsi" w:cstheme="minorHAnsi"/>
          <w:sz w:val="28"/>
          <w:szCs w:val="28"/>
          <w:lang w:val="en-GB"/>
        </w:rPr>
        <w:t xml:space="preserve"> powder </w:t>
      </w:r>
      <w:proofErr w:type="spellStart"/>
      <w:r w:rsidR="0015321F" w:rsidRPr="004F3A3C">
        <w:rPr>
          <w:rFonts w:asciiTheme="minorHAnsi" w:hAnsiTheme="minorHAnsi" w:cstheme="minorHAnsi"/>
          <w:sz w:val="28"/>
          <w:szCs w:val="28"/>
          <w:lang w:val="en-GB"/>
        </w:rPr>
        <w:t>blend,</w:t>
      </w:r>
      <w:r w:rsidR="00BB30BC" w:rsidRPr="004F3A3C">
        <w:rPr>
          <w:rFonts w:asciiTheme="minorHAnsi" w:hAnsiTheme="minorHAnsi" w:cstheme="minorHAnsi"/>
          <w:sz w:val="28"/>
          <w:szCs w:val="28"/>
          <w:lang w:val="en-GB"/>
        </w:rPr>
        <w:t>Rice</w:t>
      </w:r>
      <w:proofErr w:type="spellEnd"/>
      <w:r w:rsidR="00BB30BC" w:rsidRPr="004F3A3C">
        <w:rPr>
          <w:rFonts w:asciiTheme="minorHAnsi" w:hAnsiTheme="minorHAnsi" w:cstheme="minorHAnsi"/>
          <w:sz w:val="28"/>
          <w:szCs w:val="28"/>
          <w:lang w:val="en-GB"/>
        </w:rPr>
        <w:t>.</w:t>
      </w:r>
      <w:r w:rsidR="0015321F" w:rsidRPr="004F3A3C">
        <w:rPr>
          <w:rFonts w:asciiTheme="minorHAnsi" w:hAnsiTheme="minorHAnsi" w:cstheme="minorHAnsi"/>
          <w:sz w:val="28"/>
          <w:szCs w:val="28"/>
        </w:rPr>
        <w:t>,</w:t>
      </w:r>
      <w:r w:rsidR="00BB30BC" w:rsidRPr="004F3A3C">
        <w:rPr>
          <w:rFonts w:asciiTheme="minorHAnsi" w:hAnsiTheme="minorHAnsi" w:cstheme="minorHAnsi"/>
          <w:sz w:val="28"/>
          <w:szCs w:val="28"/>
          <w:lang w:val="en-GB"/>
        </w:rPr>
        <w:t>Vegetables.</w:t>
      </w:r>
    </w:p>
    <w:p w14:paraId="1B64059E" w14:textId="77777777" w:rsidR="00BB30BC" w:rsidRPr="004F3A3C" w:rsidRDefault="0015321F" w:rsidP="000149DE">
      <w:pPr>
        <w:pStyle w:val="Default"/>
        <w:numPr>
          <w:ilvl w:val="0"/>
          <w:numId w:val="5"/>
        </w:numPr>
        <w:jc w:val="both"/>
        <w:rPr>
          <w:rFonts w:asciiTheme="minorHAnsi" w:hAnsiTheme="minorHAnsi" w:cstheme="minorHAnsi"/>
          <w:sz w:val="28"/>
          <w:szCs w:val="28"/>
        </w:rPr>
      </w:pPr>
      <w:proofErr w:type="spellStart"/>
      <w:r w:rsidRPr="004F3A3C">
        <w:rPr>
          <w:rFonts w:asciiTheme="minorHAnsi" w:hAnsiTheme="minorHAnsi" w:cstheme="minorHAnsi"/>
          <w:sz w:val="28"/>
          <w:szCs w:val="28"/>
          <w:lang w:val="en-GB"/>
        </w:rPr>
        <w:t>Fruit,Vegetable</w:t>
      </w:r>
      <w:proofErr w:type="spellEnd"/>
      <w:r w:rsidRPr="004F3A3C">
        <w:rPr>
          <w:rFonts w:asciiTheme="minorHAnsi" w:hAnsiTheme="minorHAnsi" w:cstheme="minorHAnsi"/>
          <w:sz w:val="28"/>
          <w:szCs w:val="28"/>
          <w:lang w:val="en-GB"/>
        </w:rPr>
        <w:t xml:space="preserve"> </w:t>
      </w:r>
      <w:proofErr w:type="spellStart"/>
      <w:r w:rsidRPr="004F3A3C">
        <w:rPr>
          <w:rFonts w:asciiTheme="minorHAnsi" w:hAnsiTheme="minorHAnsi" w:cstheme="minorHAnsi"/>
          <w:sz w:val="28"/>
          <w:szCs w:val="28"/>
          <w:lang w:val="en-GB"/>
        </w:rPr>
        <w:t>oil,</w:t>
      </w:r>
      <w:r w:rsidR="00BB30BC" w:rsidRPr="004F3A3C">
        <w:rPr>
          <w:rFonts w:asciiTheme="minorHAnsi" w:hAnsiTheme="minorHAnsi" w:cstheme="minorHAnsi"/>
          <w:sz w:val="28"/>
          <w:szCs w:val="28"/>
          <w:lang w:val="en-GB"/>
        </w:rPr>
        <w:t>Milk</w:t>
      </w:r>
      <w:proofErr w:type="spellEnd"/>
      <w:r w:rsidR="00BB30BC" w:rsidRPr="004F3A3C">
        <w:rPr>
          <w:rFonts w:asciiTheme="minorHAnsi" w:hAnsiTheme="minorHAnsi" w:cstheme="minorHAnsi"/>
          <w:sz w:val="28"/>
          <w:szCs w:val="28"/>
          <w:lang w:val="en-GB"/>
        </w:rPr>
        <w:t>.</w:t>
      </w:r>
      <w:r w:rsidRPr="004F3A3C">
        <w:rPr>
          <w:rFonts w:asciiTheme="minorHAnsi" w:hAnsiTheme="minorHAnsi" w:cstheme="minorHAnsi"/>
          <w:sz w:val="28"/>
          <w:szCs w:val="28"/>
        </w:rPr>
        <w:t>,</w:t>
      </w:r>
      <w:r w:rsidRPr="004F3A3C">
        <w:rPr>
          <w:rFonts w:asciiTheme="minorHAnsi" w:hAnsiTheme="minorHAnsi" w:cstheme="minorHAnsi"/>
          <w:sz w:val="28"/>
          <w:szCs w:val="28"/>
          <w:lang w:val="en-GB"/>
        </w:rPr>
        <w:t xml:space="preserve">Cultured milk, Brown wheaten </w:t>
      </w:r>
      <w:proofErr w:type="spellStart"/>
      <w:r w:rsidRPr="004F3A3C">
        <w:rPr>
          <w:rFonts w:asciiTheme="minorHAnsi" w:hAnsiTheme="minorHAnsi" w:cstheme="minorHAnsi"/>
          <w:sz w:val="28"/>
          <w:szCs w:val="28"/>
          <w:lang w:val="en-GB"/>
        </w:rPr>
        <w:t>meal,</w:t>
      </w:r>
      <w:r w:rsidR="00BB30BC" w:rsidRPr="004F3A3C">
        <w:rPr>
          <w:rFonts w:asciiTheme="minorHAnsi" w:hAnsiTheme="minorHAnsi" w:cstheme="minorHAnsi"/>
          <w:sz w:val="28"/>
          <w:szCs w:val="28"/>
          <w:lang w:val="en-GB"/>
        </w:rPr>
        <w:t>Eggs</w:t>
      </w:r>
      <w:proofErr w:type="spellEnd"/>
      <w:r w:rsidR="00BB30BC" w:rsidRPr="004F3A3C">
        <w:rPr>
          <w:rFonts w:asciiTheme="minorHAnsi" w:hAnsiTheme="minorHAnsi" w:cstheme="minorHAnsi"/>
          <w:sz w:val="28"/>
          <w:szCs w:val="28"/>
          <w:lang w:val="en-GB"/>
        </w:rPr>
        <w:t>.</w:t>
      </w:r>
    </w:p>
    <w:p w14:paraId="67384128" w14:textId="77777777" w:rsidR="00E43D8A" w:rsidRPr="004F3A3C" w:rsidRDefault="00BB30BC" w:rsidP="000149DE">
      <w:pPr>
        <w:pStyle w:val="Default"/>
        <w:numPr>
          <w:ilvl w:val="0"/>
          <w:numId w:val="5"/>
        </w:numPr>
        <w:jc w:val="both"/>
        <w:rPr>
          <w:rFonts w:asciiTheme="minorHAnsi" w:hAnsiTheme="minorHAnsi" w:cstheme="minorHAnsi"/>
          <w:sz w:val="28"/>
          <w:szCs w:val="28"/>
        </w:rPr>
      </w:pPr>
      <w:r w:rsidRPr="004F3A3C">
        <w:rPr>
          <w:rFonts w:asciiTheme="minorHAnsi" w:hAnsiTheme="minorHAnsi" w:cstheme="minorHAnsi"/>
          <w:sz w:val="28"/>
          <w:szCs w:val="28"/>
          <w:lang w:val="en-GB"/>
        </w:rPr>
        <w:t xml:space="preserve">Edible legumes </w:t>
      </w:r>
      <w:r w:rsidR="008C783E" w:rsidRPr="004F3A3C">
        <w:rPr>
          <w:rFonts w:asciiTheme="minorHAnsi" w:hAnsiTheme="minorHAnsi" w:cstheme="minorHAnsi"/>
          <w:sz w:val="28"/>
          <w:szCs w:val="28"/>
          <w:lang w:val="en-GB"/>
        </w:rPr>
        <w:t xml:space="preserve">and pulses of leguminous plants, </w:t>
      </w:r>
      <w:r w:rsidR="00242B50" w:rsidRPr="004F3A3C">
        <w:rPr>
          <w:rFonts w:asciiTheme="minorHAnsi" w:hAnsiTheme="minorHAnsi" w:cstheme="minorHAnsi"/>
          <w:sz w:val="28"/>
          <w:szCs w:val="28"/>
          <w:lang w:val="en-US"/>
        </w:rPr>
        <w:t>Illuminating paraffin</w:t>
      </w:r>
    </w:p>
    <w:p w14:paraId="742895A9" w14:textId="77777777" w:rsidR="00E43D8A" w:rsidRPr="004F3A3C" w:rsidRDefault="00242B50" w:rsidP="000149DE">
      <w:pPr>
        <w:pStyle w:val="Default"/>
        <w:numPr>
          <w:ilvl w:val="0"/>
          <w:numId w:val="4"/>
        </w:numPr>
        <w:jc w:val="both"/>
        <w:rPr>
          <w:rFonts w:asciiTheme="minorHAnsi" w:hAnsiTheme="minorHAnsi" w:cstheme="minorHAnsi"/>
          <w:sz w:val="28"/>
          <w:szCs w:val="28"/>
        </w:rPr>
      </w:pPr>
      <w:r w:rsidRPr="004F3A3C">
        <w:rPr>
          <w:rFonts w:asciiTheme="minorHAnsi" w:hAnsiTheme="minorHAnsi" w:cstheme="minorHAnsi"/>
          <w:sz w:val="28"/>
          <w:szCs w:val="28"/>
          <w:lang w:val="en-US"/>
        </w:rPr>
        <w:t>Goods which are subject to the fuel levy (petrol and diesel)</w:t>
      </w:r>
    </w:p>
    <w:p w14:paraId="54027771" w14:textId="77777777" w:rsidR="00E43D8A" w:rsidRPr="004F3A3C" w:rsidRDefault="00242B50" w:rsidP="000149DE">
      <w:pPr>
        <w:pStyle w:val="Default"/>
        <w:numPr>
          <w:ilvl w:val="0"/>
          <w:numId w:val="4"/>
        </w:numPr>
        <w:jc w:val="both"/>
        <w:rPr>
          <w:rFonts w:asciiTheme="minorHAnsi" w:hAnsiTheme="minorHAnsi" w:cstheme="minorHAnsi"/>
          <w:sz w:val="28"/>
          <w:szCs w:val="28"/>
        </w:rPr>
      </w:pPr>
      <w:r w:rsidRPr="004F3A3C">
        <w:rPr>
          <w:rFonts w:asciiTheme="minorHAnsi" w:hAnsiTheme="minorHAnsi" w:cstheme="minorHAnsi"/>
          <w:sz w:val="28"/>
          <w:szCs w:val="28"/>
          <w:lang w:val="en-US"/>
        </w:rPr>
        <w:t>International transport services</w:t>
      </w:r>
    </w:p>
    <w:p w14:paraId="7DAD1E69" w14:textId="77777777" w:rsidR="00E43D8A" w:rsidRPr="004F3A3C" w:rsidRDefault="00242B50" w:rsidP="000149DE">
      <w:pPr>
        <w:pStyle w:val="Default"/>
        <w:numPr>
          <w:ilvl w:val="0"/>
          <w:numId w:val="4"/>
        </w:numPr>
        <w:jc w:val="both"/>
        <w:rPr>
          <w:rFonts w:asciiTheme="minorHAnsi" w:hAnsiTheme="minorHAnsi" w:cstheme="minorHAnsi"/>
          <w:sz w:val="28"/>
          <w:szCs w:val="28"/>
        </w:rPr>
      </w:pPr>
      <w:r w:rsidRPr="004F3A3C">
        <w:rPr>
          <w:rFonts w:asciiTheme="minorHAnsi" w:hAnsiTheme="minorHAnsi" w:cstheme="minorHAnsi"/>
          <w:sz w:val="28"/>
          <w:szCs w:val="28"/>
          <w:lang w:val="en-US"/>
        </w:rPr>
        <w:t>Farming inputs</w:t>
      </w:r>
    </w:p>
    <w:p w14:paraId="7574A5B7" w14:textId="77777777" w:rsidR="00E43D8A" w:rsidRPr="004F3A3C" w:rsidRDefault="00242B50" w:rsidP="000149DE">
      <w:pPr>
        <w:pStyle w:val="Default"/>
        <w:numPr>
          <w:ilvl w:val="0"/>
          <w:numId w:val="4"/>
        </w:numPr>
        <w:jc w:val="both"/>
        <w:rPr>
          <w:rFonts w:asciiTheme="minorHAnsi" w:hAnsiTheme="minorHAnsi" w:cstheme="minorHAnsi"/>
          <w:sz w:val="28"/>
          <w:szCs w:val="28"/>
        </w:rPr>
      </w:pPr>
      <w:r w:rsidRPr="004F3A3C">
        <w:rPr>
          <w:rFonts w:asciiTheme="minorHAnsi" w:hAnsiTheme="minorHAnsi" w:cstheme="minorHAnsi"/>
          <w:sz w:val="28"/>
          <w:szCs w:val="28"/>
          <w:lang w:val="en-US"/>
        </w:rPr>
        <w:t>Sales of going concerns, and</w:t>
      </w:r>
    </w:p>
    <w:p w14:paraId="17065C30" w14:textId="77777777" w:rsidR="006D6A77" w:rsidRPr="004F3A3C" w:rsidRDefault="00242B50" w:rsidP="000149DE">
      <w:pPr>
        <w:pStyle w:val="Default"/>
        <w:numPr>
          <w:ilvl w:val="0"/>
          <w:numId w:val="4"/>
        </w:numPr>
        <w:jc w:val="both"/>
        <w:rPr>
          <w:rFonts w:asciiTheme="minorHAnsi" w:hAnsiTheme="minorHAnsi" w:cstheme="minorHAnsi"/>
          <w:sz w:val="28"/>
          <w:szCs w:val="28"/>
        </w:rPr>
      </w:pPr>
      <w:r w:rsidRPr="004F3A3C">
        <w:rPr>
          <w:rFonts w:asciiTheme="minorHAnsi" w:hAnsiTheme="minorHAnsi" w:cstheme="minorHAnsi"/>
          <w:sz w:val="28"/>
          <w:szCs w:val="28"/>
          <w:lang w:val="en-US"/>
        </w:rPr>
        <w:t>Certain grants by government.</w:t>
      </w:r>
    </w:p>
    <w:p w14:paraId="6A0B56E8" w14:textId="77777777" w:rsidR="00CC4C67" w:rsidRPr="004F3A3C" w:rsidRDefault="00CC4C67" w:rsidP="000149DE">
      <w:pPr>
        <w:pStyle w:val="Default"/>
        <w:jc w:val="both"/>
        <w:rPr>
          <w:rFonts w:asciiTheme="minorHAnsi" w:hAnsiTheme="minorHAnsi" w:cstheme="minorHAnsi"/>
          <w:sz w:val="28"/>
          <w:szCs w:val="28"/>
        </w:rPr>
      </w:pPr>
    </w:p>
    <w:p w14:paraId="5011E855" w14:textId="4495CED5" w:rsidR="00DF3CA3" w:rsidRPr="004F3A3C" w:rsidRDefault="00CC525A" w:rsidP="000149DE">
      <w:pPr>
        <w:pStyle w:val="Default"/>
        <w:jc w:val="both"/>
        <w:rPr>
          <w:rFonts w:asciiTheme="minorHAnsi" w:hAnsiTheme="minorHAnsi" w:cstheme="minorHAnsi"/>
          <w:sz w:val="28"/>
          <w:szCs w:val="28"/>
        </w:rPr>
      </w:pPr>
      <w:r>
        <w:rPr>
          <w:rFonts w:asciiTheme="minorHAnsi" w:hAnsiTheme="minorHAnsi" w:cstheme="minorHAnsi"/>
          <w:b/>
          <w:bCs/>
          <w:sz w:val="28"/>
          <w:szCs w:val="28"/>
        </w:rPr>
        <w:lastRenderedPageBreak/>
        <w:t>9</w:t>
      </w:r>
      <w:r w:rsidR="004F3A3C">
        <w:rPr>
          <w:rFonts w:asciiTheme="minorHAnsi" w:hAnsiTheme="minorHAnsi" w:cstheme="minorHAnsi"/>
          <w:b/>
          <w:bCs/>
          <w:sz w:val="28"/>
          <w:szCs w:val="28"/>
        </w:rPr>
        <w:t xml:space="preserve">. </w:t>
      </w:r>
      <w:r w:rsidR="008C783E" w:rsidRPr="004F3A3C">
        <w:rPr>
          <w:rFonts w:asciiTheme="minorHAnsi" w:hAnsiTheme="minorHAnsi" w:cstheme="minorHAnsi"/>
          <w:b/>
          <w:bCs/>
          <w:sz w:val="28"/>
          <w:szCs w:val="28"/>
        </w:rPr>
        <w:t>TAXABLE SUPPLIES</w:t>
      </w:r>
      <w:r w:rsidR="00DF3CA3" w:rsidRPr="004F3A3C">
        <w:rPr>
          <w:rFonts w:asciiTheme="minorHAnsi" w:hAnsiTheme="minorHAnsi" w:cstheme="minorHAnsi"/>
          <w:b/>
          <w:bCs/>
          <w:sz w:val="28"/>
          <w:szCs w:val="28"/>
        </w:rPr>
        <w:t xml:space="preserve"> AT STANDARD RATE </w:t>
      </w:r>
    </w:p>
    <w:p w14:paraId="5A0AEDDA" w14:textId="77777777" w:rsidR="008C783E" w:rsidRPr="004F3A3C" w:rsidRDefault="008C783E" w:rsidP="000149DE">
      <w:pPr>
        <w:pStyle w:val="Default"/>
        <w:jc w:val="both"/>
        <w:rPr>
          <w:rFonts w:asciiTheme="minorHAnsi" w:hAnsiTheme="minorHAnsi" w:cstheme="minorHAnsi"/>
          <w:sz w:val="28"/>
          <w:szCs w:val="28"/>
        </w:rPr>
      </w:pPr>
    </w:p>
    <w:p w14:paraId="7053B064" w14:textId="77777777" w:rsidR="00DF3CA3" w:rsidRPr="004F3A3C" w:rsidRDefault="00DF3CA3" w:rsidP="000149DE">
      <w:pPr>
        <w:pStyle w:val="Default"/>
        <w:jc w:val="both"/>
        <w:rPr>
          <w:rFonts w:asciiTheme="minorHAnsi" w:hAnsiTheme="minorHAnsi" w:cstheme="minorHAnsi"/>
          <w:sz w:val="28"/>
          <w:szCs w:val="28"/>
        </w:rPr>
      </w:pPr>
      <w:r w:rsidRPr="004F3A3C">
        <w:rPr>
          <w:rFonts w:asciiTheme="minorHAnsi" w:hAnsiTheme="minorHAnsi" w:cstheme="minorHAnsi"/>
          <w:sz w:val="28"/>
          <w:szCs w:val="28"/>
        </w:rPr>
        <w:t xml:space="preserve">The provision of goods and services is taxable at the standard VAT rate and input tax can be set off against output tax. In practice, the provision of goods and </w:t>
      </w:r>
      <w:r w:rsidR="008C783E" w:rsidRPr="004F3A3C">
        <w:rPr>
          <w:rFonts w:asciiTheme="minorHAnsi" w:hAnsiTheme="minorHAnsi" w:cstheme="minorHAnsi"/>
          <w:sz w:val="28"/>
          <w:szCs w:val="28"/>
        </w:rPr>
        <w:t xml:space="preserve">services generally is taxable. </w:t>
      </w:r>
    </w:p>
    <w:p w14:paraId="3DAE8AC2" w14:textId="77777777" w:rsidR="00DD40E1" w:rsidRDefault="00DD40E1" w:rsidP="000149DE">
      <w:pPr>
        <w:pStyle w:val="Default"/>
        <w:jc w:val="both"/>
        <w:rPr>
          <w:rFonts w:asciiTheme="minorHAnsi" w:hAnsiTheme="minorHAnsi" w:cstheme="minorHAnsi"/>
          <w:color w:val="auto"/>
          <w:sz w:val="28"/>
          <w:szCs w:val="28"/>
        </w:rPr>
      </w:pPr>
    </w:p>
    <w:p w14:paraId="431C379E" w14:textId="77777777" w:rsidR="00246104" w:rsidRPr="004F3A3C" w:rsidRDefault="00246104" w:rsidP="000149DE">
      <w:pPr>
        <w:pStyle w:val="Default"/>
        <w:jc w:val="both"/>
        <w:rPr>
          <w:rFonts w:asciiTheme="minorHAnsi" w:hAnsiTheme="minorHAnsi" w:cstheme="minorHAnsi"/>
          <w:color w:val="auto"/>
          <w:sz w:val="28"/>
          <w:szCs w:val="28"/>
        </w:rPr>
      </w:pPr>
    </w:p>
    <w:p w14:paraId="2C8E8456" w14:textId="051DD686" w:rsidR="00DF3CA3" w:rsidRPr="004F3A3C" w:rsidRDefault="00CC525A" w:rsidP="000149DE">
      <w:pPr>
        <w:pStyle w:val="Default"/>
        <w:jc w:val="both"/>
        <w:rPr>
          <w:rFonts w:asciiTheme="minorHAnsi" w:hAnsiTheme="minorHAnsi" w:cstheme="minorHAnsi"/>
          <w:color w:val="auto"/>
          <w:sz w:val="28"/>
          <w:szCs w:val="28"/>
        </w:rPr>
      </w:pPr>
      <w:r>
        <w:rPr>
          <w:rFonts w:asciiTheme="minorHAnsi" w:hAnsiTheme="minorHAnsi" w:cstheme="minorHAnsi"/>
          <w:b/>
          <w:bCs/>
          <w:color w:val="auto"/>
          <w:sz w:val="28"/>
          <w:szCs w:val="28"/>
        </w:rPr>
        <w:t>10</w:t>
      </w:r>
      <w:r w:rsidR="004F3A3C">
        <w:rPr>
          <w:rFonts w:asciiTheme="minorHAnsi" w:hAnsiTheme="minorHAnsi" w:cstheme="minorHAnsi"/>
          <w:b/>
          <w:bCs/>
          <w:color w:val="auto"/>
          <w:sz w:val="28"/>
          <w:szCs w:val="28"/>
        </w:rPr>
        <w:t xml:space="preserve">. </w:t>
      </w:r>
      <w:r w:rsidR="00B312AC" w:rsidRPr="004F3A3C">
        <w:rPr>
          <w:rFonts w:asciiTheme="minorHAnsi" w:hAnsiTheme="minorHAnsi" w:cstheme="minorHAnsi"/>
          <w:b/>
          <w:bCs/>
          <w:color w:val="auto"/>
          <w:sz w:val="28"/>
          <w:szCs w:val="28"/>
        </w:rPr>
        <w:t>T</w:t>
      </w:r>
      <w:r w:rsidR="003E473B" w:rsidRPr="004F3A3C">
        <w:rPr>
          <w:rFonts w:asciiTheme="minorHAnsi" w:hAnsiTheme="minorHAnsi" w:cstheme="minorHAnsi"/>
          <w:b/>
          <w:bCs/>
          <w:color w:val="auto"/>
          <w:sz w:val="28"/>
          <w:szCs w:val="28"/>
        </w:rPr>
        <w:t>ax Invoices</w:t>
      </w:r>
    </w:p>
    <w:p w14:paraId="7277AC35" w14:textId="77777777" w:rsidR="00242B50" w:rsidRPr="004F3A3C" w:rsidRDefault="00242B50" w:rsidP="000149DE">
      <w:pPr>
        <w:pStyle w:val="Default"/>
        <w:jc w:val="both"/>
        <w:rPr>
          <w:rFonts w:asciiTheme="minorHAnsi" w:hAnsiTheme="minorHAnsi" w:cstheme="minorHAnsi"/>
          <w:color w:val="auto"/>
          <w:sz w:val="28"/>
          <w:szCs w:val="28"/>
        </w:rPr>
      </w:pPr>
    </w:p>
    <w:p w14:paraId="74166CB4" w14:textId="77777777" w:rsidR="008C783E" w:rsidRPr="004F3A3C" w:rsidRDefault="00DF3CA3" w:rsidP="000149DE">
      <w:pPr>
        <w:pStyle w:val="Default"/>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At least three types of tax invoices are applicable for reclaiming VAT. Each type has its own requirements that have to be met by the tax invoice before VAT can be reclaimed.</w:t>
      </w:r>
    </w:p>
    <w:p w14:paraId="1B55348C" w14:textId="77777777" w:rsidR="00DF3CA3" w:rsidRPr="004F3A3C" w:rsidRDefault="00DF3CA3" w:rsidP="000149DE">
      <w:pPr>
        <w:pStyle w:val="Default"/>
        <w:jc w:val="both"/>
        <w:rPr>
          <w:rFonts w:asciiTheme="minorHAnsi" w:hAnsiTheme="minorHAnsi" w:cstheme="minorHAnsi"/>
          <w:color w:val="000000" w:themeColor="text1"/>
          <w:sz w:val="28"/>
          <w:szCs w:val="28"/>
        </w:rPr>
      </w:pPr>
      <w:r w:rsidRPr="004F3A3C">
        <w:rPr>
          <w:rFonts w:asciiTheme="minorHAnsi" w:hAnsiTheme="minorHAnsi" w:cstheme="minorHAnsi"/>
          <w:color w:val="auto"/>
          <w:sz w:val="28"/>
          <w:szCs w:val="28"/>
        </w:rPr>
        <w:t xml:space="preserve"> </w:t>
      </w:r>
    </w:p>
    <w:p w14:paraId="2ECD9BC7" w14:textId="193D02AE" w:rsidR="00DF3CA3" w:rsidRPr="004F3A3C" w:rsidRDefault="00CC525A" w:rsidP="000149DE">
      <w:pPr>
        <w:pStyle w:val="Default"/>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10</w:t>
      </w:r>
      <w:r w:rsidR="005B40AF">
        <w:rPr>
          <w:rFonts w:asciiTheme="minorHAnsi" w:hAnsiTheme="minorHAnsi" w:cstheme="minorHAnsi"/>
          <w:b/>
          <w:bCs/>
          <w:color w:val="000000" w:themeColor="text1"/>
          <w:sz w:val="28"/>
          <w:szCs w:val="28"/>
        </w:rPr>
        <w:t>.1</w:t>
      </w:r>
      <w:r w:rsidR="00DF3CA3" w:rsidRPr="004F3A3C">
        <w:rPr>
          <w:rFonts w:asciiTheme="minorHAnsi" w:hAnsiTheme="minorHAnsi" w:cstheme="minorHAnsi"/>
          <w:b/>
          <w:bCs/>
          <w:color w:val="000000" w:themeColor="text1"/>
          <w:sz w:val="28"/>
          <w:szCs w:val="28"/>
        </w:rPr>
        <w:t>Inv</w:t>
      </w:r>
      <w:r w:rsidR="008C783E" w:rsidRPr="004F3A3C">
        <w:rPr>
          <w:rFonts w:asciiTheme="minorHAnsi" w:hAnsiTheme="minorHAnsi" w:cstheme="minorHAnsi"/>
          <w:b/>
          <w:bCs/>
          <w:color w:val="000000" w:themeColor="text1"/>
          <w:sz w:val="28"/>
          <w:szCs w:val="28"/>
        </w:rPr>
        <w:t xml:space="preserve">oices for amounts larger than </w:t>
      </w:r>
      <w:r w:rsidR="003C128A" w:rsidRPr="004F3A3C">
        <w:rPr>
          <w:rFonts w:asciiTheme="minorHAnsi" w:hAnsiTheme="minorHAnsi" w:cstheme="minorHAnsi"/>
          <w:b/>
          <w:bCs/>
          <w:color w:val="000000" w:themeColor="text1"/>
          <w:sz w:val="28"/>
          <w:szCs w:val="28"/>
        </w:rPr>
        <w:t>R3</w:t>
      </w:r>
      <w:r w:rsidR="00DF3CA3" w:rsidRPr="004F3A3C">
        <w:rPr>
          <w:rFonts w:asciiTheme="minorHAnsi" w:hAnsiTheme="minorHAnsi" w:cstheme="minorHAnsi"/>
          <w:b/>
          <w:bCs/>
          <w:color w:val="000000" w:themeColor="text1"/>
          <w:sz w:val="28"/>
          <w:szCs w:val="28"/>
        </w:rPr>
        <w:t xml:space="preserve"> 000 (inclusive of VAT) </w:t>
      </w:r>
    </w:p>
    <w:p w14:paraId="20DDEE9F" w14:textId="77777777" w:rsidR="003E473B" w:rsidRPr="004F3A3C" w:rsidRDefault="003E473B" w:rsidP="000149DE">
      <w:pPr>
        <w:autoSpaceDE w:val="0"/>
        <w:autoSpaceDN w:val="0"/>
        <w:adjustRightInd w:val="0"/>
        <w:spacing w:after="0" w:line="240" w:lineRule="auto"/>
        <w:jc w:val="both"/>
        <w:rPr>
          <w:rFonts w:cstheme="minorHAnsi"/>
          <w:sz w:val="28"/>
          <w:szCs w:val="28"/>
        </w:rPr>
      </w:pPr>
      <w:r w:rsidRPr="004F3A3C">
        <w:rPr>
          <w:rFonts w:cstheme="minorHAnsi"/>
          <w:color w:val="000000" w:themeColor="text1"/>
          <w:sz w:val="28"/>
          <w:szCs w:val="28"/>
        </w:rPr>
        <w:t>Except as the Commissioner may otherwise allow, and subject to this s</w:t>
      </w:r>
      <w:r w:rsidRPr="004F3A3C">
        <w:rPr>
          <w:rFonts w:cstheme="minorHAnsi"/>
          <w:sz w:val="28"/>
          <w:szCs w:val="28"/>
        </w:rPr>
        <w:t>ection, a tax invoice (full tax invoice) shall be in the currency of the Republic and shall contain the following particulars:</w:t>
      </w:r>
    </w:p>
    <w:p w14:paraId="7D180E9E" w14:textId="77777777" w:rsidR="00DF3CA3" w:rsidRPr="004F3A3C" w:rsidRDefault="00DF3CA3" w:rsidP="000149DE">
      <w:pPr>
        <w:pStyle w:val="Default"/>
        <w:jc w:val="both"/>
        <w:rPr>
          <w:rFonts w:asciiTheme="minorHAnsi" w:hAnsiTheme="minorHAnsi" w:cstheme="minorHAnsi"/>
          <w:color w:val="auto"/>
          <w:sz w:val="28"/>
          <w:szCs w:val="28"/>
        </w:rPr>
      </w:pPr>
    </w:p>
    <w:p w14:paraId="1EF5C0D5" w14:textId="77777777" w:rsidR="00CC4C67" w:rsidRPr="004F3A3C" w:rsidRDefault="00CC4C67" w:rsidP="000149DE">
      <w:pPr>
        <w:pStyle w:val="Default"/>
        <w:jc w:val="both"/>
        <w:rPr>
          <w:rFonts w:asciiTheme="minorHAnsi" w:hAnsiTheme="minorHAnsi" w:cstheme="minorHAnsi"/>
          <w:color w:val="auto"/>
          <w:sz w:val="28"/>
          <w:szCs w:val="28"/>
        </w:rPr>
      </w:pPr>
    </w:p>
    <w:p w14:paraId="54F3618D" w14:textId="77777777" w:rsidR="00DF3CA3" w:rsidRPr="004F3A3C" w:rsidRDefault="00DF3CA3" w:rsidP="000149DE">
      <w:pPr>
        <w:pStyle w:val="Default"/>
        <w:numPr>
          <w:ilvl w:val="0"/>
          <w:numId w:val="3"/>
        </w:numPr>
        <w:spacing w:after="24"/>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that it is a tax invoice </w:t>
      </w:r>
    </w:p>
    <w:p w14:paraId="17F24494" w14:textId="77777777" w:rsidR="00DF3CA3" w:rsidRPr="004F3A3C" w:rsidRDefault="00DF3CA3" w:rsidP="000149DE">
      <w:pPr>
        <w:pStyle w:val="Default"/>
        <w:numPr>
          <w:ilvl w:val="0"/>
          <w:numId w:val="3"/>
        </w:numPr>
        <w:spacing w:after="24"/>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the supplier’s name, address and VAT registration number </w:t>
      </w:r>
    </w:p>
    <w:p w14:paraId="443D99E3" w14:textId="77777777" w:rsidR="00DF3CA3" w:rsidRPr="004F3A3C" w:rsidRDefault="00DF3CA3" w:rsidP="000149DE">
      <w:pPr>
        <w:pStyle w:val="Default"/>
        <w:numPr>
          <w:ilvl w:val="0"/>
          <w:numId w:val="3"/>
        </w:numPr>
        <w:spacing w:after="24"/>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the name, address and VAT registration number of the purchaser </w:t>
      </w:r>
    </w:p>
    <w:p w14:paraId="0A45752E" w14:textId="77777777" w:rsidR="00DF3CA3" w:rsidRPr="004F3A3C" w:rsidRDefault="00DF3CA3" w:rsidP="000149DE">
      <w:pPr>
        <w:pStyle w:val="Default"/>
        <w:numPr>
          <w:ilvl w:val="0"/>
          <w:numId w:val="3"/>
        </w:numPr>
        <w:spacing w:after="24"/>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the invoice number and date </w:t>
      </w:r>
    </w:p>
    <w:p w14:paraId="25AD25C7" w14:textId="77777777" w:rsidR="00DF3CA3" w:rsidRPr="004F3A3C" w:rsidRDefault="00DF3CA3" w:rsidP="000149DE">
      <w:pPr>
        <w:pStyle w:val="Default"/>
        <w:numPr>
          <w:ilvl w:val="0"/>
          <w:numId w:val="3"/>
        </w:numPr>
        <w:spacing w:after="24"/>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a description of the goods, as </w:t>
      </w:r>
      <w:r w:rsidR="003E473B" w:rsidRPr="004F3A3C">
        <w:rPr>
          <w:rFonts w:asciiTheme="minorHAnsi" w:hAnsiTheme="minorHAnsi" w:cstheme="minorHAnsi"/>
          <w:color w:val="auto"/>
          <w:sz w:val="28"/>
          <w:szCs w:val="28"/>
        </w:rPr>
        <w:t>well as the quantity or volume of the goods or services supplied.</w:t>
      </w:r>
    </w:p>
    <w:p w14:paraId="7E8F0261" w14:textId="77777777" w:rsidR="00DF3CA3" w:rsidRPr="004F3A3C" w:rsidRDefault="00DF3CA3" w:rsidP="000149DE">
      <w:pPr>
        <w:pStyle w:val="Default"/>
        <w:numPr>
          <w:ilvl w:val="0"/>
          <w:numId w:val="3"/>
        </w:numPr>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the value of the goods and the tax requested </w:t>
      </w:r>
    </w:p>
    <w:p w14:paraId="4F5B4131" w14:textId="77777777" w:rsidR="00DF3CA3" w:rsidRPr="004F3A3C" w:rsidRDefault="00DF3CA3" w:rsidP="000149DE">
      <w:pPr>
        <w:pStyle w:val="Default"/>
        <w:jc w:val="both"/>
        <w:rPr>
          <w:rFonts w:asciiTheme="minorHAnsi" w:hAnsiTheme="minorHAnsi" w:cstheme="minorHAnsi"/>
          <w:color w:val="auto"/>
          <w:sz w:val="28"/>
          <w:szCs w:val="28"/>
        </w:rPr>
      </w:pPr>
    </w:p>
    <w:p w14:paraId="7AE0DBAD" w14:textId="34FC9BF9" w:rsidR="00DF3CA3" w:rsidRPr="004F3A3C" w:rsidRDefault="00CC525A" w:rsidP="000149DE">
      <w:pPr>
        <w:pStyle w:val="Default"/>
        <w:jc w:val="both"/>
        <w:rPr>
          <w:rFonts w:asciiTheme="minorHAnsi" w:hAnsiTheme="minorHAnsi" w:cstheme="minorHAnsi"/>
          <w:color w:val="auto"/>
          <w:sz w:val="28"/>
          <w:szCs w:val="28"/>
        </w:rPr>
      </w:pPr>
      <w:r>
        <w:rPr>
          <w:rFonts w:asciiTheme="minorHAnsi" w:hAnsiTheme="minorHAnsi" w:cstheme="minorHAnsi"/>
          <w:b/>
          <w:bCs/>
          <w:color w:val="auto"/>
          <w:sz w:val="28"/>
          <w:szCs w:val="28"/>
        </w:rPr>
        <w:t>10</w:t>
      </w:r>
      <w:r w:rsidR="005B40AF">
        <w:rPr>
          <w:rFonts w:asciiTheme="minorHAnsi" w:hAnsiTheme="minorHAnsi" w:cstheme="minorHAnsi"/>
          <w:b/>
          <w:bCs/>
          <w:color w:val="auto"/>
          <w:sz w:val="28"/>
          <w:szCs w:val="28"/>
        </w:rPr>
        <w:t xml:space="preserve">.2 </w:t>
      </w:r>
      <w:r w:rsidR="00DF3CA3" w:rsidRPr="004F3A3C">
        <w:rPr>
          <w:rFonts w:asciiTheme="minorHAnsi" w:hAnsiTheme="minorHAnsi" w:cstheme="minorHAnsi"/>
          <w:b/>
          <w:bCs/>
          <w:color w:val="auto"/>
          <w:sz w:val="28"/>
          <w:szCs w:val="28"/>
        </w:rPr>
        <w:t>Invo</w:t>
      </w:r>
      <w:r w:rsidR="00CC4C67" w:rsidRPr="004F3A3C">
        <w:rPr>
          <w:rFonts w:asciiTheme="minorHAnsi" w:hAnsiTheme="minorHAnsi" w:cstheme="minorHAnsi"/>
          <w:b/>
          <w:bCs/>
          <w:color w:val="auto"/>
          <w:sz w:val="28"/>
          <w:szCs w:val="28"/>
        </w:rPr>
        <w:t>ices for amounts smaller than R3</w:t>
      </w:r>
      <w:r w:rsidR="00DF3CA3" w:rsidRPr="004F3A3C">
        <w:rPr>
          <w:rFonts w:asciiTheme="minorHAnsi" w:hAnsiTheme="minorHAnsi" w:cstheme="minorHAnsi"/>
          <w:b/>
          <w:bCs/>
          <w:color w:val="auto"/>
          <w:sz w:val="28"/>
          <w:szCs w:val="28"/>
        </w:rPr>
        <w:t xml:space="preserve"> 000 (inclusive of VAT</w:t>
      </w:r>
      <w:r w:rsidR="00DF3CA3" w:rsidRPr="004F3A3C">
        <w:rPr>
          <w:rFonts w:asciiTheme="minorHAnsi" w:hAnsiTheme="minorHAnsi" w:cstheme="minorHAnsi"/>
          <w:color w:val="auto"/>
          <w:sz w:val="28"/>
          <w:szCs w:val="28"/>
        </w:rPr>
        <w:t xml:space="preserve">) </w:t>
      </w:r>
    </w:p>
    <w:p w14:paraId="1F5864C0" w14:textId="77777777" w:rsidR="00DF3CA3" w:rsidRPr="004F3A3C" w:rsidRDefault="00DF3CA3" w:rsidP="000149DE">
      <w:pPr>
        <w:pStyle w:val="Default"/>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 xml:space="preserve">When the total amount of the invoice </w:t>
      </w:r>
      <w:r w:rsidR="00CC4C67" w:rsidRPr="004F3A3C">
        <w:rPr>
          <w:rFonts w:asciiTheme="minorHAnsi" w:hAnsiTheme="minorHAnsi" w:cstheme="minorHAnsi"/>
          <w:color w:val="auto"/>
          <w:sz w:val="28"/>
          <w:szCs w:val="28"/>
        </w:rPr>
        <w:t>including VAT does not exceed R3</w:t>
      </w:r>
      <w:r w:rsidRPr="004F3A3C">
        <w:rPr>
          <w:rFonts w:asciiTheme="minorHAnsi" w:hAnsiTheme="minorHAnsi" w:cstheme="minorHAnsi"/>
          <w:color w:val="auto"/>
          <w:sz w:val="28"/>
          <w:szCs w:val="28"/>
        </w:rPr>
        <w:t xml:space="preserve"> 000, the abovementioned remains applicable. It is not necessary, however, to show the supplier’s address, the receiver’s name and VAT registration number or the quantity of the goods. </w:t>
      </w:r>
    </w:p>
    <w:p w14:paraId="1D1DD89E" w14:textId="77777777" w:rsidR="00CC4C67" w:rsidRPr="004F3A3C" w:rsidRDefault="00CC4C67" w:rsidP="000149DE">
      <w:pPr>
        <w:pStyle w:val="Default"/>
        <w:jc w:val="both"/>
        <w:rPr>
          <w:rFonts w:asciiTheme="minorHAnsi" w:hAnsiTheme="minorHAnsi" w:cstheme="minorHAnsi"/>
          <w:color w:val="auto"/>
          <w:sz w:val="28"/>
          <w:szCs w:val="28"/>
        </w:rPr>
      </w:pPr>
    </w:p>
    <w:p w14:paraId="1D0BE816" w14:textId="4F806908" w:rsidR="00DF3CA3" w:rsidRPr="004F3A3C" w:rsidRDefault="00CC525A" w:rsidP="000149DE">
      <w:pPr>
        <w:pStyle w:val="Default"/>
        <w:jc w:val="both"/>
        <w:rPr>
          <w:rFonts w:asciiTheme="minorHAnsi" w:hAnsiTheme="minorHAnsi" w:cstheme="minorHAnsi"/>
          <w:color w:val="auto"/>
          <w:sz w:val="28"/>
          <w:szCs w:val="28"/>
        </w:rPr>
      </w:pPr>
      <w:r>
        <w:rPr>
          <w:rFonts w:asciiTheme="minorHAnsi" w:hAnsiTheme="minorHAnsi" w:cstheme="minorHAnsi"/>
          <w:b/>
          <w:bCs/>
          <w:color w:val="auto"/>
          <w:sz w:val="28"/>
          <w:szCs w:val="28"/>
        </w:rPr>
        <w:t>10</w:t>
      </w:r>
      <w:r w:rsidR="005B40AF">
        <w:rPr>
          <w:rFonts w:asciiTheme="minorHAnsi" w:hAnsiTheme="minorHAnsi" w:cstheme="minorHAnsi"/>
          <w:b/>
          <w:bCs/>
          <w:color w:val="auto"/>
          <w:sz w:val="28"/>
          <w:szCs w:val="28"/>
        </w:rPr>
        <w:t xml:space="preserve">.3 </w:t>
      </w:r>
      <w:r w:rsidR="00DF3CA3" w:rsidRPr="004F3A3C">
        <w:rPr>
          <w:rFonts w:asciiTheme="minorHAnsi" w:hAnsiTheme="minorHAnsi" w:cstheme="minorHAnsi"/>
          <w:b/>
          <w:bCs/>
          <w:color w:val="auto"/>
          <w:sz w:val="28"/>
          <w:szCs w:val="28"/>
        </w:rPr>
        <w:t xml:space="preserve">Situations in which the total amount inclusive of VAT is smaller than R50 for which it is not necessary to generate an invoice </w:t>
      </w:r>
    </w:p>
    <w:p w14:paraId="6CD360CB" w14:textId="77777777" w:rsidR="00DF3CA3" w:rsidRPr="004F3A3C" w:rsidRDefault="00DF3CA3" w:rsidP="000149DE">
      <w:pPr>
        <w:pStyle w:val="Default"/>
        <w:jc w:val="both"/>
        <w:rPr>
          <w:rFonts w:asciiTheme="minorHAnsi" w:hAnsiTheme="minorHAnsi" w:cstheme="minorHAnsi"/>
          <w:color w:val="auto"/>
          <w:sz w:val="28"/>
          <w:szCs w:val="28"/>
        </w:rPr>
      </w:pPr>
      <w:r w:rsidRPr="004F3A3C">
        <w:rPr>
          <w:rFonts w:asciiTheme="minorHAnsi" w:hAnsiTheme="minorHAnsi" w:cstheme="minorHAnsi"/>
          <w:color w:val="auto"/>
          <w:sz w:val="28"/>
          <w:szCs w:val="28"/>
        </w:rPr>
        <w:t>When the total amount inclusive of VAT does not add up to R50, it is not necessary to generate an invoice. Any buyer who wants to claim VAT has to provide evidence of purchase of the fact that VAT was levied. It is important to indicate the name of the supplier and the fact that V</w:t>
      </w:r>
      <w:r w:rsidR="00BB31BA" w:rsidRPr="004F3A3C">
        <w:rPr>
          <w:rFonts w:asciiTheme="minorHAnsi" w:hAnsiTheme="minorHAnsi" w:cstheme="minorHAnsi"/>
          <w:color w:val="auto"/>
          <w:sz w:val="28"/>
          <w:szCs w:val="28"/>
        </w:rPr>
        <w:t xml:space="preserve">AT was levied on the invoice. </w:t>
      </w:r>
    </w:p>
    <w:p w14:paraId="04352C8F" w14:textId="77777777" w:rsidR="003551E4" w:rsidRPr="004F3A3C" w:rsidRDefault="003551E4" w:rsidP="000149DE">
      <w:pPr>
        <w:pStyle w:val="Default"/>
        <w:jc w:val="both"/>
        <w:rPr>
          <w:rFonts w:asciiTheme="minorHAnsi" w:hAnsiTheme="minorHAnsi" w:cstheme="minorHAnsi"/>
          <w:color w:val="auto"/>
          <w:sz w:val="28"/>
          <w:szCs w:val="28"/>
        </w:rPr>
      </w:pPr>
    </w:p>
    <w:p w14:paraId="06FB1124" w14:textId="14F0433C" w:rsidR="00AA2589" w:rsidRPr="004F3A3C" w:rsidRDefault="005B40AF" w:rsidP="000149DE">
      <w:pPr>
        <w:autoSpaceDE w:val="0"/>
        <w:autoSpaceDN w:val="0"/>
        <w:adjustRightInd w:val="0"/>
        <w:spacing w:after="0" w:line="240" w:lineRule="auto"/>
        <w:jc w:val="both"/>
        <w:rPr>
          <w:rFonts w:cstheme="minorHAnsi"/>
          <w:b/>
          <w:bCs/>
          <w:color w:val="000000"/>
          <w:sz w:val="28"/>
          <w:szCs w:val="28"/>
        </w:rPr>
      </w:pPr>
      <w:r>
        <w:rPr>
          <w:rFonts w:cstheme="minorHAnsi"/>
          <w:b/>
          <w:bCs/>
          <w:color w:val="000000"/>
          <w:sz w:val="28"/>
          <w:szCs w:val="28"/>
        </w:rPr>
        <w:lastRenderedPageBreak/>
        <w:t>1</w:t>
      </w:r>
      <w:r w:rsidR="00CC525A">
        <w:rPr>
          <w:rFonts w:cstheme="minorHAnsi"/>
          <w:b/>
          <w:bCs/>
          <w:color w:val="000000"/>
          <w:sz w:val="28"/>
          <w:szCs w:val="28"/>
        </w:rPr>
        <w:t>1</w:t>
      </w:r>
      <w:r>
        <w:rPr>
          <w:rFonts w:cstheme="minorHAnsi"/>
          <w:b/>
          <w:bCs/>
          <w:color w:val="000000"/>
          <w:sz w:val="28"/>
          <w:szCs w:val="28"/>
        </w:rPr>
        <w:t xml:space="preserve">. </w:t>
      </w:r>
      <w:r w:rsidR="00AA2589" w:rsidRPr="004F3A3C">
        <w:rPr>
          <w:rFonts w:cstheme="minorHAnsi"/>
          <w:b/>
          <w:bCs/>
          <w:color w:val="000000"/>
          <w:sz w:val="28"/>
          <w:szCs w:val="28"/>
        </w:rPr>
        <w:t>GR</w:t>
      </w:r>
      <w:r w:rsidR="003C128A" w:rsidRPr="004F3A3C">
        <w:rPr>
          <w:rFonts w:cstheme="minorHAnsi"/>
          <w:b/>
          <w:bCs/>
          <w:color w:val="000000"/>
          <w:sz w:val="28"/>
          <w:szCs w:val="28"/>
        </w:rPr>
        <w:t>ANTS BASED ON THE VAT 419 GUIDE</w:t>
      </w:r>
    </w:p>
    <w:p w14:paraId="68CD457A" w14:textId="77777777" w:rsidR="003C128A" w:rsidRPr="004F3A3C" w:rsidRDefault="003C128A" w:rsidP="000149DE">
      <w:pPr>
        <w:autoSpaceDE w:val="0"/>
        <w:autoSpaceDN w:val="0"/>
        <w:adjustRightInd w:val="0"/>
        <w:spacing w:after="0" w:line="240" w:lineRule="auto"/>
        <w:jc w:val="both"/>
        <w:rPr>
          <w:rFonts w:cstheme="minorHAnsi"/>
          <w:b/>
          <w:bCs/>
          <w:color w:val="000000"/>
          <w:sz w:val="28"/>
          <w:szCs w:val="28"/>
        </w:rPr>
      </w:pPr>
    </w:p>
    <w:p w14:paraId="25EF4A64" w14:textId="77777777" w:rsidR="00AA2589" w:rsidRPr="004F3A3C" w:rsidRDefault="00AA2589" w:rsidP="000149DE">
      <w:pPr>
        <w:autoSpaceDE w:val="0"/>
        <w:autoSpaceDN w:val="0"/>
        <w:adjustRightInd w:val="0"/>
        <w:spacing w:after="0" w:line="240" w:lineRule="auto"/>
        <w:jc w:val="both"/>
        <w:rPr>
          <w:rFonts w:cstheme="minorHAnsi"/>
          <w:color w:val="000000"/>
          <w:sz w:val="28"/>
          <w:szCs w:val="28"/>
        </w:rPr>
      </w:pPr>
      <w:r w:rsidRPr="004F3A3C">
        <w:rPr>
          <w:rFonts w:cstheme="minorHAnsi"/>
          <w:color w:val="000000"/>
          <w:sz w:val="28"/>
          <w:szCs w:val="28"/>
        </w:rPr>
        <w:t>The purpose of this circular is to provide clarity to municip</w:t>
      </w:r>
      <w:r w:rsidR="003C128A" w:rsidRPr="004F3A3C">
        <w:rPr>
          <w:rFonts w:cstheme="minorHAnsi"/>
          <w:color w:val="000000"/>
          <w:sz w:val="28"/>
          <w:szCs w:val="28"/>
        </w:rPr>
        <w:t xml:space="preserve">alities on the VAT treatment of </w:t>
      </w:r>
      <w:r w:rsidRPr="004F3A3C">
        <w:rPr>
          <w:rFonts w:cstheme="minorHAnsi"/>
          <w:color w:val="000000"/>
          <w:sz w:val="28"/>
          <w:szCs w:val="28"/>
        </w:rPr>
        <w:t>grants based on the VAT 419 guide to municipalities.</w:t>
      </w:r>
    </w:p>
    <w:p w14:paraId="68059579" w14:textId="77777777" w:rsidR="003C128A" w:rsidRDefault="003C128A" w:rsidP="000149DE">
      <w:pPr>
        <w:autoSpaceDE w:val="0"/>
        <w:autoSpaceDN w:val="0"/>
        <w:adjustRightInd w:val="0"/>
        <w:spacing w:after="0" w:line="240" w:lineRule="auto"/>
        <w:jc w:val="both"/>
        <w:rPr>
          <w:rFonts w:cstheme="minorHAnsi"/>
          <w:color w:val="000000"/>
          <w:sz w:val="28"/>
          <w:szCs w:val="28"/>
        </w:rPr>
      </w:pPr>
    </w:p>
    <w:p w14:paraId="3944372C" w14:textId="77777777" w:rsidR="00246104" w:rsidRPr="004F3A3C" w:rsidRDefault="00246104" w:rsidP="000149DE">
      <w:pPr>
        <w:autoSpaceDE w:val="0"/>
        <w:autoSpaceDN w:val="0"/>
        <w:adjustRightInd w:val="0"/>
        <w:spacing w:after="0" w:line="240" w:lineRule="auto"/>
        <w:jc w:val="both"/>
        <w:rPr>
          <w:rFonts w:cstheme="minorHAnsi"/>
          <w:color w:val="000000"/>
          <w:sz w:val="28"/>
          <w:szCs w:val="28"/>
        </w:rPr>
      </w:pPr>
    </w:p>
    <w:p w14:paraId="09056243" w14:textId="7AFDE437" w:rsidR="00AA2589" w:rsidRPr="004F3A3C" w:rsidRDefault="005B40AF" w:rsidP="000149DE">
      <w:pPr>
        <w:autoSpaceDE w:val="0"/>
        <w:autoSpaceDN w:val="0"/>
        <w:adjustRightInd w:val="0"/>
        <w:spacing w:after="0" w:line="240" w:lineRule="auto"/>
        <w:jc w:val="both"/>
        <w:rPr>
          <w:rFonts w:cstheme="minorHAnsi"/>
          <w:b/>
          <w:bCs/>
          <w:color w:val="000000"/>
          <w:sz w:val="28"/>
          <w:szCs w:val="28"/>
        </w:rPr>
      </w:pPr>
      <w:r>
        <w:rPr>
          <w:rFonts w:cstheme="minorHAnsi"/>
          <w:b/>
          <w:bCs/>
          <w:color w:val="000000"/>
          <w:sz w:val="28"/>
          <w:szCs w:val="28"/>
        </w:rPr>
        <w:t>1</w:t>
      </w:r>
      <w:r w:rsidR="00CC525A">
        <w:rPr>
          <w:rFonts w:cstheme="minorHAnsi"/>
          <w:b/>
          <w:bCs/>
          <w:color w:val="000000"/>
          <w:sz w:val="28"/>
          <w:szCs w:val="28"/>
        </w:rPr>
        <w:t>1</w:t>
      </w:r>
      <w:r>
        <w:rPr>
          <w:rFonts w:cstheme="minorHAnsi"/>
          <w:b/>
          <w:bCs/>
          <w:color w:val="000000"/>
          <w:sz w:val="28"/>
          <w:szCs w:val="28"/>
        </w:rPr>
        <w:t>.1</w:t>
      </w:r>
      <w:r w:rsidR="00AA2589" w:rsidRPr="004F3A3C">
        <w:rPr>
          <w:rFonts w:cstheme="minorHAnsi"/>
          <w:b/>
          <w:bCs/>
          <w:color w:val="000000"/>
          <w:sz w:val="28"/>
          <w:szCs w:val="28"/>
        </w:rPr>
        <w:t xml:space="preserve"> Background</w:t>
      </w:r>
    </w:p>
    <w:p w14:paraId="2E975E8F" w14:textId="156A82C7" w:rsidR="00C22B29" w:rsidRDefault="00AA2589" w:rsidP="000149DE">
      <w:pPr>
        <w:pStyle w:val="ListParagraph"/>
        <w:numPr>
          <w:ilvl w:val="0"/>
          <w:numId w:val="12"/>
        </w:numPr>
        <w:autoSpaceDE w:val="0"/>
        <w:autoSpaceDN w:val="0"/>
        <w:adjustRightInd w:val="0"/>
        <w:spacing w:after="0" w:line="240" w:lineRule="auto"/>
        <w:jc w:val="both"/>
        <w:rPr>
          <w:rFonts w:cstheme="minorHAnsi"/>
          <w:color w:val="000000"/>
          <w:sz w:val="28"/>
          <w:szCs w:val="28"/>
        </w:rPr>
      </w:pPr>
      <w:r w:rsidRPr="00DD40E1">
        <w:rPr>
          <w:rFonts w:cstheme="minorHAnsi"/>
          <w:color w:val="000000"/>
          <w:sz w:val="28"/>
          <w:szCs w:val="28"/>
        </w:rPr>
        <w:t xml:space="preserve">Prior to 1 April 2005, the term grant was not defined </w:t>
      </w:r>
      <w:r w:rsidR="003C128A" w:rsidRPr="00DD40E1">
        <w:rPr>
          <w:rFonts w:cstheme="minorHAnsi"/>
          <w:color w:val="000000"/>
          <w:sz w:val="28"/>
          <w:szCs w:val="28"/>
        </w:rPr>
        <w:t xml:space="preserve">in the VAT act instead; the VAT </w:t>
      </w:r>
      <w:r w:rsidRPr="00DD40E1">
        <w:rPr>
          <w:rFonts w:cstheme="minorHAnsi"/>
          <w:color w:val="000000"/>
          <w:sz w:val="28"/>
          <w:szCs w:val="28"/>
        </w:rPr>
        <w:t>legislation referred to, and def</w:t>
      </w:r>
      <w:r w:rsidR="003C128A" w:rsidRPr="00DD40E1">
        <w:rPr>
          <w:rFonts w:cstheme="minorHAnsi"/>
          <w:color w:val="000000"/>
          <w:sz w:val="28"/>
          <w:szCs w:val="28"/>
        </w:rPr>
        <w:t>ined the term transfer payment.</w:t>
      </w:r>
      <w:r w:rsidR="00C22B29" w:rsidRPr="00DD40E1">
        <w:rPr>
          <w:rFonts w:cstheme="minorHAnsi"/>
          <w:color w:val="000000"/>
          <w:sz w:val="28"/>
          <w:szCs w:val="28"/>
        </w:rPr>
        <w:t xml:space="preserve"> </w:t>
      </w:r>
      <w:r w:rsidRPr="00DD40E1">
        <w:rPr>
          <w:rFonts w:cstheme="minorHAnsi"/>
          <w:color w:val="000000"/>
          <w:sz w:val="28"/>
          <w:szCs w:val="28"/>
        </w:rPr>
        <w:t xml:space="preserve">One of the main issues faced by municipalities was </w:t>
      </w:r>
      <w:r w:rsidR="003C128A" w:rsidRPr="00DD40E1">
        <w:rPr>
          <w:rFonts w:cstheme="minorHAnsi"/>
          <w:color w:val="000000"/>
          <w:sz w:val="28"/>
          <w:szCs w:val="28"/>
        </w:rPr>
        <w:t xml:space="preserve">that the appropriations made to </w:t>
      </w:r>
      <w:r w:rsidRPr="00DD40E1">
        <w:rPr>
          <w:rFonts w:cstheme="minorHAnsi"/>
          <w:color w:val="000000"/>
          <w:sz w:val="28"/>
          <w:szCs w:val="28"/>
        </w:rPr>
        <w:t>them by government under the annual Division of Rev</w:t>
      </w:r>
      <w:r w:rsidR="003C128A" w:rsidRPr="00DD40E1">
        <w:rPr>
          <w:rFonts w:cstheme="minorHAnsi"/>
          <w:color w:val="000000"/>
          <w:sz w:val="28"/>
          <w:szCs w:val="28"/>
        </w:rPr>
        <w:t xml:space="preserve">enue Act for example, equitable </w:t>
      </w:r>
      <w:r w:rsidRPr="00DD40E1">
        <w:rPr>
          <w:rFonts w:cstheme="minorHAnsi"/>
          <w:color w:val="000000"/>
          <w:sz w:val="28"/>
          <w:szCs w:val="28"/>
        </w:rPr>
        <w:t>share grants, did not comply with the definition of tr</w:t>
      </w:r>
      <w:r w:rsidR="003C128A" w:rsidRPr="00DD40E1">
        <w:rPr>
          <w:rFonts w:cstheme="minorHAnsi"/>
          <w:color w:val="000000"/>
          <w:sz w:val="28"/>
          <w:szCs w:val="28"/>
        </w:rPr>
        <w:t xml:space="preserve">ansfer payment. Therefore these </w:t>
      </w:r>
      <w:r w:rsidRPr="00DD40E1">
        <w:rPr>
          <w:rFonts w:cstheme="minorHAnsi"/>
          <w:color w:val="000000"/>
          <w:sz w:val="28"/>
          <w:szCs w:val="28"/>
        </w:rPr>
        <w:t>receipts did not qualify as a zero rated supply under section 11(2)(p) of the VAT act as</w:t>
      </w:r>
      <w:r w:rsidR="003C128A" w:rsidRPr="00DD40E1">
        <w:rPr>
          <w:rFonts w:cstheme="minorHAnsi"/>
          <w:color w:val="000000"/>
          <w:sz w:val="28"/>
          <w:szCs w:val="28"/>
        </w:rPr>
        <w:t xml:space="preserve"> it </w:t>
      </w:r>
      <w:r w:rsidRPr="00DD40E1">
        <w:rPr>
          <w:rFonts w:cstheme="minorHAnsi"/>
          <w:color w:val="000000"/>
          <w:sz w:val="28"/>
          <w:szCs w:val="28"/>
        </w:rPr>
        <w:t>read at the time. This created a problem in that, public</w:t>
      </w:r>
      <w:r w:rsidR="003C128A" w:rsidRPr="00DD40E1">
        <w:rPr>
          <w:rFonts w:cstheme="minorHAnsi"/>
          <w:color w:val="000000"/>
          <w:sz w:val="28"/>
          <w:szCs w:val="28"/>
        </w:rPr>
        <w:t xml:space="preserve"> authorities and municipalities </w:t>
      </w:r>
      <w:r w:rsidRPr="00DD40E1">
        <w:rPr>
          <w:rFonts w:cstheme="minorHAnsi"/>
          <w:color w:val="000000"/>
          <w:sz w:val="28"/>
          <w:szCs w:val="28"/>
        </w:rPr>
        <w:t>were generally under the impression that such payments</w:t>
      </w:r>
      <w:r w:rsidR="003C128A" w:rsidRPr="00DD40E1">
        <w:rPr>
          <w:rFonts w:cstheme="minorHAnsi"/>
          <w:color w:val="000000"/>
          <w:sz w:val="28"/>
          <w:szCs w:val="28"/>
        </w:rPr>
        <w:t xml:space="preserve"> qualified to be zero rated and </w:t>
      </w:r>
      <w:r w:rsidRPr="00DD40E1">
        <w:rPr>
          <w:rFonts w:cstheme="minorHAnsi"/>
          <w:color w:val="000000"/>
          <w:sz w:val="28"/>
          <w:szCs w:val="28"/>
        </w:rPr>
        <w:t>did not budget for the VAT, which should have been included at the standard ra</w:t>
      </w:r>
      <w:r w:rsidR="00C22B29" w:rsidRPr="00DD40E1">
        <w:rPr>
          <w:rFonts w:cstheme="minorHAnsi"/>
          <w:color w:val="000000"/>
          <w:sz w:val="28"/>
          <w:szCs w:val="28"/>
        </w:rPr>
        <w:t xml:space="preserve">te. </w:t>
      </w:r>
      <w:r w:rsidRPr="00DD40E1">
        <w:rPr>
          <w:rFonts w:cstheme="minorHAnsi"/>
          <w:color w:val="000000"/>
          <w:sz w:val="28"/>
          <w:szCs w:val="28"/>
        </w:rPr>
        <w:t xml:space="preserve">Amendments was therefore introduced to the VAT </w:t>
      </w:r>
      <w:r w:rsidR="00C22B29" w:rsidRPr="00DD40E1">
        <w:rPr>
          <w:rFonts w:cstheme="minorHAnsi"/>
          <w:color w:val="000000"/>
          <w:sz w:val="28"/>
          <w:szCs w:val="28"/>
        </w:rPr>
        <w:t>Act and the amendments included amongst others the following:</w:t>
      </w:r>
    </w:p>
    <w:p w14:paraId="3227DA25" w14:textId="77777777" w:rsidR="00DD40E1" w:rsidRPr="00DD40E1" w:rsidRDefault="00DD40E1" w:rsidP="000149DE">
      <w:pPr>
        <w:pStyle w:val="ListParagraph"/>
        <w:autoSpaceDE w:val="0"/>
        <w:autoSpaceDN w:val="0"/>
        <w:adjustRightInd w:val="0"/>
        <w:spacing w:after="0" w:line="240" w:lineRule="auto"/>
        <w:ind w:left="780"/>
        <w:jc w:val="both"/>
        <w:rPr>
          <w:rFonts w:cstheme="minorHAnsi"/>
          <w:color w:val="000000"/>
          <w:sz w:val="28"/>
          <w:szCs w:val="28"/>
        </w:rPr>
      </w:pPr>
    </w:p>
    <w:p w14:paraId="001372F6" w14:textId="3DE88CB7" w:rsidR="00AA2589" w:rsidRDefault="00AA2589" w:rsidP="000149DE">
      <w:pPr>
        <w:pStyle w:val="ListParagraph"/>
        <w:numPr>
          <w:ilvl w:val="0"/>
          <w:numId w:val="13"/>
        </w:numPr>
        <w:autoSpaceDE w:val="0"/>
        <w:autoSpaceDN w:val="0"/>
        <w:adjustRightInd w:val="0"/>
        <w:spacing w:after="0" w:line="240" w:lineRule="auto"/>
        <w:jc w:val="both"/>
        <w:rPr>
          <w:rFonts w:cstheme="minorHAnsi"/>
          <w:color w:val="000000"/>
          <w:sz w:val="28"/>
          <w:szCs w:val="28"/>
        </w:rPr>
      </w:pPr>
      <w:r w:rsidRPr="00DD40E1">
        <w:rPr>
          <w:rFonts w:cstheme="minorHAnsi"/>
          <w:color w:val="000000"/>
          <w:sz w:val="28"/>
          <w:szCs w:val="28"/>
        </w:rPr>
        <w:t>The definition of transfer payment was replaced with the definition of a grant. The</w:t>
      </w:r>
      <w:r w:rsidR="00C22B29" w:rsidRPr="00DD40E1">
        <w:rPr>
          <w:rFonts w:cstheme="minorHAnsi"/>
          <w:color w:val="000000"/>
          <w:sz w:val="28"/>
          <w:szCs w:val="28"/>
        </w:rPr>
        <w:t xml:space="preserve"> </w:t>
      </w:r>
      <w:r w:rsidRPr="00DD40E1">
        <w:rPr>
          <w:rFonts w:cstheme="minorHAnsi"/>
          <w:color w:val="000000"/>
          <w:sz w:val="28"/>
          <w:szCs w:val="28"/>
        </w:rPr>
        <w:t>definition of a grant included in its meaning any app</w:t>
      </w:r>
      <w:r w:rsidR="00C22B29" w:rsidRPr="00DD40E1">
        <w:rPr>
          <w:rFonts w:cstheme="minorHAnsi"/>
          <w:color w:val="000000"/>
          <w:sz w:val="28"/>
          <w:szCs w:val="28"/>
        </w:rPr>
        <w:t xml:space="preserve">ropriations made by </w:t>
      </w:r>
      <w:r w:rsidR="003A7E16" w:rsidRPr="00DD40E1">
        <w:rPr>
          <w:rFonts w:cstheme="minorHAnsi"/>
          <w:color w:val="000000"/>
          <w:sz w:val="28"/>
          <w:szCs w:val="28"/>
        </w:rPr>
        <w:t>government thunder</w:t>
      </w:r>
      <w:r w:rsidRPr="00DD40E1">
        <w:rPr>
          <w:rFonts w:cstheme="minorHAnsi"/>
          <w:color w:val="000000"/>
          <w:sz w:val="28"/>
          <w:szCs w:val="28"/>
        </w:rPr>
        <w:t xml:space="preserve"> the </w:t>
      </w:r>
      <w:r w:rsidR="00C22B29" w:rsidRPr="00DD40E1">
        <w:rPr>
          <w:rFonts w:cstheme="minorHAnsi"/>
          <w:color w:val="000000"/>
          <w:sz w:val="28"/>
          <w:szCs w:val="28"/>
        </w:rPr>
        <w:t>annual Division of revenue act.</w:t>
      </w:r>
      <w:r w:rsidR="003A7E16" w:rsidRPr="00DD40E1">
        <w:rPr>
          <w:rFonts w:cstheme="minorHAnsi"/>
          <w:color w:val="000000"/>
          <w:sz w:val="28"/>
          <w:szCs w:val="28"/>
        </w:rPr>
        <w:t xml:space="preserve"> </w:t>
      </w:r>
      <w:r w:rsidR="00C22B29" w:rsidRPr="00DD40E1">
        <w:rPr>
          <w:rFonts w:cstheme="minorHAnsi"/>
          <w:color w:val="000000"/>
          <w:sz w:val="28"/>
          <w:szCs w:val="28"/>
        </w:rPr>
        <w:t>T</w:t>
      </w:r>
      <w:r w:rsidRPr="00DD40E1">
        <w:rPr>
          <w:rFonts w:cstheme="minorHAnsi"/>
          <w:color w:val="000000"/>
          <w:sz w:val="28"/>
          <w:szCs w:val="28"/>
        </w:rPr>
        <w:t>he deeming provisions of section 8(5) of the V</w:t>
      </w:r>
      <w:r w:rsidR="00C22B29" w:rsidRPr="00DD40E1">
        <w:rPr>
          <w:rFonts w:cstheme="minorHAnsi"/>
          <w:color w:val="000000"/>
          <w:sz w:val="28"/>
          <w:szCs w:val="28"/>
        </w:rPr>
        <w:t xml:space="preserve">AT act were amended to now only </w:t>
      </w:r>
      <w:r w:rsidRPr="00DD40E1">
        <w:rPr>
          <w:rFonts w:cstheme="minorHAnsi"/>
          <w:color w:val="000000"/>
          <w:sz w:val="28"/>
          <w:szCs w:val="28"/>
        </w:rPr>
        <w:t>apply to a designated entity.</w:t>
      </w:r>
    </w:p>
    <w:p w14:paraId="1D6B2911" w14:textId="77777777" w:rsidR="00DD40E1" w:rsidRPr="00DD40E1" w:rsidRDefault="00DD40E1" w:rsidP="000149DE">
      <w:pPr>
        <w:pStyle w:val="ListParagraph"/>
        <w:autoSpaceDE w:val="0"/>
        <w:autoSpaceDN w:val="0"/>
        <w:adjustRightInd w:val="0"/>
        <w:spacing w:after="0" w:line="240" w:lineRule="auto"/>
        <w:jc w:val="both"/>
        <w:rPr>
          <w:rFonts w:cstheme="minorHAnsi"/>
          <w:color w:val="000000"/>
          <w:sz w:val="28"/>
          <w:szCs w:val="28"/>
        </w:rPr>
      </w:pPr>
    </w:p>
    <w:p w14:paraId="052E0723" w14:textId="3530A0DF" w:rsidR="00AA2589" w:rsidRPr="00DD40E1" w:rsidRDefault="00AA2589" w:rsidP="000149DE">
      <w:pPr>
        <w:pStyle w:val="ListParagraph"/>
        <w:numPr>
          <w:ilvl w:val="0"/>
          <w:numId w:val="14"/>
        </w:numPr>
        <w:autoSpaceDE w:val="0"/>
        <w:autoSpaceDN w:val="0"/>
        <w:adjustRightInd w:val="0"/>
        <w:spacing w:after="0" w:line="240" w:lineRule="auto"/>
        <w:jc w:val="both"/>
        <w:rPr>
          <w:rFonts w:cstheme="minorHAnsi"/>
          <w:color w:val="000000"/>
          <w:sz w:val="28"/>
          <w:szCs w:val="28"/>
        </w:rPr>
      </w:pPr>
      <w:r w:rsidRPr="00DD40E1">
        <w:rPr>
          <w:rFonts w:cstheme="minorHAnsi"/>
          <w:color w:val="000000"/>
          <w:sz w:val="28"/>
          <w:szCs w:val="28"/>
        </w:rPr>
        <w:t>The zero rating provision under section 11(2)(p) was replaced with sec</w:t>
      </w:r>
      <w:r w:rsidR="00C22B29" w:rsidRPr="00DD40E1">
        <w:rPr>
          <w:rFonts w:cstheme="minorHAnsi"/>
          <w:color w:val="000000"/>
          <w:sz w:val="28"/>
          <w:szCs w:val="28"/>
        </w:rPr>
        <w:t xml:space="preserve">tion 11(2)(t) of </w:t>
      </w:r>
      <w:r w:rsidRPr="00DD40E1">
        <w:rPr>
          <w:rFonts w:cstheme="minorHAnsi"/>
          <w:color w:val="000000"/>
          <w:sz w:val="28"/>
          <w:szCs w:val="28"/>
        </w:rPr>
        <w:t>the VAT act. This new provision allowed the deemed su</w:t>
      </w:r>
      <w:r w:rsidR="00C22B29" w:rsidRPr="00DD40E1">
        <w:rPr>
          <w:rFonts w:cstheme="minorHAnsi"/>
          <w:color w:val="000000"/>
          <w:sz w:val="28"/>
          <w:szCs w:val="28"/>
        </w:rPr>
        <w:t xml:space="preserve">pply under section 8(5A) of the </w:t>
      </w:r>
      <w:r w:rsidRPr="00DD40E1">
        <w:rPr>
          <w:rFonts w:cstheme="minorHAnsi"/>
          <w:color w:val="000000"/>
          <w:sz w:val="28"/>
          <w:szCs w:val="28"/>
        </w:rPr>
        <w:t>VAT act in respect of grants made to municipal</w:t>
      </w:r>
      <w:r w:rsidR="00C22B29" w:rsidRPr="00DD40E1">
        <w:rPr>
          <w:rFonts w:cstheme="minorHAnsi"/>
          <w:color w:val="000000"/>
          <w:sz w:val="28"/>
          <w:szCs w:val="28"/>
        </w:rPr>
        <w:t xml:space="preserve">ities as well as grants made by </w:t>
      </w:r>
      <w:r w:rsidRPr="00DD40E1">
        <w:rPr>
          <w:rFonts w:cstheme="minorHAnsi"/>
          <w:color w:val="000000"/>
          <w:sz w:val="28"/>
          <w:szCs w:val="28"/>
        </w:rPr>
        <w:t>municipalities to be zero-rated.</w:t>
      </w:r>
    </w:p>
    <w:p w14:paraId="3434286E" w14:textId="77777777" w:rsidR="00DD40E1" w:rsidRDefault="00DD40E1" w:rsidP="000149DE">
      <w:pPr>
        <w:pStyle w:val="ListParagraph"/>
        <w:autoSpaceDE w:val="0"/>
        <w:autoSpaceDN w:val="0"/>
        <w:adjustRightInd w:val="0"/>
        <w:spacing w:after="0" w:line="240" w:lineRule="auto"/>
        <w:jc w:val="both"/>
        <w:rPr>
          <w:rFonts w:cstheme="minorHAnsi"/>
          <w:color w:val="000000"/>
          <w:sz w:val="28"/>
          <w:szCs w:val="28"/>
        </w:rPr>
      </w:pPr>
    </w:p>
    <w:p w14:paraId="51D46CEF" w14:textId="30973760" w:rsidR="00AA2589" w:rsidRPr="00DD40E1" w:rsidRDefault="00AA2589" w:rsidP="000149DE">
      <w:pPr>
        <w:pStyle w:val="ListParagraph"/>
        <w:numPr>
          <w:ilvl w:val="0"/>
          <w:numId w:val="14"/>
        </w:numPr>
        <w:autoSpaceDE w:val="0"/>
        <w:autoSpaceDN w:val="0"/>
        <w:adjustRightInd w:val="0"/>
        <w:spacing w:after="0" w:line="240" w:lineRule="auto"/>
        <w:jc w:val="both"/>
        <w:rPr>
          <w:rFonts w:cstheme="minorHAnsi"/>
          <w:color w:val="000000"/>
          <w:sz w:val="28"/>
          <w:szCs w:val="28"/>
        </w:rPr>
      </w:pPr>
      <w:r w:rsidRPr="00DD40E1">
        <w:rPr>
          <w:rFonts w:cstheme="minorHAnsi"/>
          <w:color w:val="000000"/>
          <w:sz w:val="28"/>
          <w:szCs w:val="28"/>
        </w:rPr>
        <w:t>After careful consideration of amongst other the above,</w:t>
      </w:r>
      <w:r w:rsidR="00C22B29" w:rsidRPr="00DD40E1">
        <w:rPr>
          <w:rFonts w:cstheme="minorHAnsi"/>
          <w:color w:val="000000"/>
          <w:sz w:val="28"/>
          <w:szCs w:val="28"/>
        </w:rPr>
        <w:t xml:space="preserve"> South African Revenue Services </w:t>
      </w:r>
      <w:r w:rsidRPr="00DD40E1">
        <w:rPr>
          <w:rFonts w:cstheme="minorHAnsi"/>
          <w:color w:val="000000"/>
          <w:sz w:val="28"/>
          <w:szCs w:val="28"/>
        </w:rPr>
        <w:t xml:space="preserve">(SARS) issued the Value-Added Tax Guide - </w:t>
      </w:r>
      <w:r w:rsidRPr="00DD40E1">
        <w:rPr>
          <w:rFonts w:cstheme="minorHAnsi"/>
          <w:b/>
          <w:bCs/>
          <w:color w:val="000000"/>
          <w:sz w:val="28"/>
          <w:szCs w:val="28"/>
        </w:rPr>
        <w:t xml:space="preserve">VAT 419 – Guide for Municipalities </w:t>
      </w:r>
      <w:r w:rsidR="00C22B29" w:rsidRPr="00DD40E1">
        <w:rPr>
          <w:rFonts w:cstheme="minorHAnsi"/>
          <w:color w:val="000000"/>
          <w:sz w:val="28"/>
          <w:szCs w:val="28"/>
        </w:rPr>
        <w:t xml:space="preserve">dated </w:t>
      </w:r>
      <w:r w:rsidRPr="00DD40E1">
        <w:rPr>
          <w:rFonts w:cstheme="minorHAnsi"/>
          <w:color w:val="000000"/>
          <w:sz w:val="28"/>
          <w:szCs w:val="28"/>
        </w:rPr>
        <w:t>31 October 2008, which relates to the application of the Value-Added Tax (VAT) law in</w:t>
      </w:r>
      <w:r w:rsidR="005B40AF" w:rsidRPr="00DD40E1">
        <w:rPr>
          <w:rFonts w:cstheme="minorHAnsi"/>
          <w:color w:val="000000"/>
          <w:sz w:val="28"/>
          <w:szCs w:val="28"/>
        </w:rPr>
        <w:t xml:space="preserve"> </w:t>
      </w:r>
      <w:r w:rsidR="00C22B29" w:rsidRPr="00DD40E1">
        <w:rPr>
          <w:rFonts w:cstheme="minorHAnsi"/>
          <w:color w:val="000000"/>
          <w:sz w:val="28"/>
          <w:szCs w:val="28"/>
        </w:rPr>
        <w:t xml:space="preserve">respect of municipalities. </w:t>
      </w:r>
      <w:r w:rsidRPr="00DD40E1">
        <w:rPr>
          <w:rFonts w:cstheme="minorHAnsi"/>
          <w:color w:val="000000"/>
          <w:sz w:val="28"/>
          <w:szCs w:val="28"/>
        </w:rPr>
        <w:t>The main purpose of this guide is to provide guidance a</w:t>
      </w:r>
      <w:r w:rsidR="00C22B29" w:rsidRPr="00DD40E1">
        <w:rPr>
          <w:rFonts w:cstheme="minorHAnsi"/>
          <w:color w:val="000000"/>
          <w:sz w:val="28"/>
          <w:szCs w:val="28"/>
        </w:rPr>
        <w:t xml:space="preserve">nd clarity on the VAT treatment </w:t>
      </w:r>
      <w:r w:rsidRPr="00DD40E1">
        <w:rPr>
          <w:rFonts w:cstheme="minorHAnsi"/>
          <w:color w:val="000000"/>
          <w:sz w:val="28"/>
          <w:szCs w:val="28"/>
        </w:rPr>
        <w:t>of supplies made by m</w:t>
      </w:r>
      <w:r w:rsidR="00C22B29" w:rsidRPr="00DD40E1">
        <w:rPr>
          <w:rFonts w:cstheme="minorHAnsi"/>
          <w:color w:val="000000"/>
          <w:sz w:val="28"/>
          <w:szCs w:val="28"/>
        </w:rPr>
        <w:t xml:space="preserve">unicipalities from 1 July 2006 </w:t>
      </w:r>
      <w:r w:rsidRPr="00DD40E1">
        <w:rPr>
          <w:rFonts w:cstheme="minorHAnsi"/>
          <w:color w:val="000000"/>
          <w:sz w:val="28"/>
          <w:szCs w:val="28"/>
        </w:rPr>
        <w:t>page 4 of 5</w:t>
      </w:r>
      <w:r w:rsidR="005B40AF" w:rsidRPr="00DD40E1">
        <w:rPr>
          <w:rFonts w:cstheme="minorHAnsi"/>
          <w:color w:val="000000"/>
          <w:sz w:val="28"/>
          <w:szCs w:val="28"/>
        </w:rPr>
        <w:t>.</w:t>
      </w:r>
    </w:p>
    <w:p w14:paraId="5D63DC31" w14:textId="77777777" w:rsidR="00C22B29" w:rsidRPr="004F3A3C" w:rsidRDefault="00C22B29" w:rsidP="000149DE">
      <w:pPr>
        <w:autoSpaceDE w:val="0"/>
        <w:autoSpaceDN w:val="0"/>
        <w:adjustRightInd w:val="0"/>
        <w:spacing w:after="0" w:line="240" w:lineRule="auto"/>
        <w:jc w:val="both"/>
        <w:rPr>
          <w:rFonts w:cstheme="minorHAnsi"/>
          <w:b/>
          <w:bCs/>
          <w:color w:val="000000"/>
          <w:sz w:val="28"/>
          <w:szCs w:val="28"/>
        </w:rPr>
      </w:pPr>
    </w:p>
    <w:p w14:paraId="5B03237C" w14:textId="396BD2A6" w:rsidR="00AA2589" w:rsidRPr="004F3A3C" w:rsidRDefault="005B40AF" w:rsidP="000149DE">
      <w:pPr>
        <w:autoSpaceDE w:val="0"/>
        <w:autoSpaceDN w:val="0"/>
        <w:adjustRightInd w:val="0"/>
        <w:spacing w:after="0" w:line="240" w:lineRule="auto"/>
        <w:jc w:val="both"/>
        <w:rPr>
          <w:rFonts w:cstheme="minorHAnsi"/>
          <w:b/>
          <w:bCs/>
          <w:color w:val="000000"/>
          <w:sz w:val="28"/>
          <w:szCs w:val="28"/>
        </w:rPr>
      </w:pPr>
      <w:r>
        <w:rPr>
          <w:rFonts w:cstheme="minorHAnsi"/>
          <w:b/>
          <w:bCs/>
          <w:color w:val="000000"/>
          <w:sz w:val="28"/>
          <w:szCs w:val="28"/>
        </w:rPr>
        <w:lastRenderedPageBreak/>
        <w:t>1</w:t>
      </w:r>
      <w:r w:rsidR="00CC525A">
        <w:rPr>
          <w:rFonts w:cstheme="minorHAnsi"/>
          <w:b/>
          <w:bCs/>
          <w:color w:val="000000"/>
          <w:sz w:val="28"/>
          <w:szCs w:val="28"/>
        </w:rPr>
        <w:t>1</w:t>
      </w:r>
      <w:r>
        <w:rPr>
          <w:rFonts w:cstheme="minorHAnsi"/>
          <w:b/>
          <w:bCs/>
          <w:color w:val="000000"/>
          <w:sz w:val="28"/>
          <w:szCs w:val="28"/>
        </w:rPr>
        <w:t>.2</w:t>
      </w:r>
      <w:r w:rsidR="00AA2589" w:rsidRPr="004F3A3C">
        <w:rPr>
          <w:rFonts w:cstheme="minorHAnsi"/>
          <w:b/>
          <w:bCs/>
          <w:color w:val="000000"/>
          <w:sz w:val="28"/>
          <w:szCs w:val="28"/>
        </w:rPr>
        <w:t xml:space="preserve"> Discussion</w:t>
      </w:r>
    </w:p>
    <w:p w14:paraId="2275242A" w14:textId="7D8657BB" w:rsidR="00AA2589" w:rsidRPr="008D4A23" w:rsidRDefault="00AA2589" w:rsidP="000149DE">
      <w:pPr>
        <w:pStyle w:val="ListParagraph"/>
        <w:numPr>
          <w:ilvl w:val="0"/>
          <w:numId w:val="15"/>
        </w:numPr>
        <w:autoSpaceDE w:val="0"/>
        <w:autoSpaceDN w:val="0"/>
        <w:adjustRightInd w:val="0"/>
        <w:spacing w:after="0" w:line="240" w:lineRule="auto"/>
        <w:jc w:val="both"/>
        <w:rPr>
          <w:rFonts w:cstheme="minorHAnsi"/>
          <w:color w:val="000000"/>
          <w:sz w:val="28"/>
          <w:szCs w:val="28"/>
        </w:rPr>
      </w:pPr>
      <w:r w:rsidRPr="008D4A23">
        <w:rPr>
          <w:rFonts w:cstheme="minorHAnsi"/>
          <w:color w:val="000000"/>
          <w:sz w:val="28"/>
          <w:szCs w:val="28"/>
        </w:rPr>
        <w:t xml:space="preserve">An extract from the VAT 419 Guide, ….”A grant is a means of assistance from the State </w:t>
      </w:r>
      <w:proofErr w:type="spellStart"/>
      <w:r w:rsidRPr="008D4A23">
        <w:rPr>
          <w:rFonts w:cstheme="minorHAnsi"/>
          <w:color w:val="000000"/>
          <w:sz w:val="28"/>
          <w:szCs w:val="28"/>
        </w:rPr>
        <w:t>ora</w:t>
      </w:r>
      <w:proofErr w:type="spellEnd"/>
      <w:r w:rsidRPr="008D4A23">
        <w:rPr>
          <w:rFonts w:cstheme="minorHAnsi"/>
          <w:color w:val="000000"/>
          <w:sz w:val="28"/>
          <w:szCs w:val="28"/>
        </w:rPr>
        <w:t xml:space="preserve"> municipality being a gratuitous or unrequited payment by the grantor, where no</w:t>
      </w:r>
      <w:r w:rsidR="005B40AF" w:rsidRPr="008D4A23">
        <w:rPr>
          <w:rFonts w:cstheme="minorHAnsi"/>
          <w:color w:val="000000"/>
          <w:sz w:val="28"/>
          <w:szCs w:val="28"/>
        </w:rPr>
        <w:t xml:space="preserve"> </w:t>
      </w:r>
      <w:r w:rsidRPr="008D4A23">
        <w:rPr>
          <w:rFonts w:cstheme="minorHAnsi"/>
          <w:color w:val="000000"/>
          <w:sz w:val="28"/>
          <w:szCs w:val="28"/>
        </w:rPr>
        <w:t>exchange is expected in the form of a supply of goods or services of corresponding</w:t>
      </w:r>
      <w:r w:rsidR="005B40AF" w:rsidRPr="008D4A23">
        <w:rPr>
          <w:rFonts w:cstheme="minorHAnsi"/>
          <w:color w:val="000000"/>
          <w:sz w:val="28"/>
          <w:szCs w:val="28"/>
        </w:rPr>
        <w:t xml:space="preserve"> </w:t>
      </w:r>
      <w:r w:rsidRPr="008D4A23">
        <w:rPr>
          <w:rFonts w:cstheme="minorHAnsi"/>
          <w:color w:val="000000"/>
          <w:sz w:val="28"/>
          <w:szCs w:val="28"/>
        </w:rPr>
        <w:t>value. Where the recipient is required to perform minor actions in regard to the grant,</w:t>
      </w:r>
      <w:r w:rsidR="003A7E16" w:rsidRPr="008D4A23">
        <w:rPr>
          <w:rFonts w:cstheme="minorHAnsi"/>
          <w:color w:val="000000"/>
          <w:sz w:val="28"/>
          <w:szCs w:val="28"/>
        </w:rPr>
        <w:t xml:space="preserve"> </w:t>
      </w:r>
      <w:r w:rsidRPr="008D4A23">
        <w:rPr>
          <w:rFonts w:cstheme="minorHAnsi"/>
          <w:color w:val="000000"/>
          <w:sz w:val="28"/>
          <w:szCs w:val="28"/>
        </w:rPr>
        <w:t>such as providing the grantor with a report or information on how the grant funds were</w:t>
      </w:r>
      <w:r w:rsidR="003A7E16" w:rsidRPr="008D4A23">
        <w:rPr>
          <w:rFonts w:cstheme="minorHAnsi"/>
          <w:color w:val="000000"/>
          <w:sz w:val="28"/>
          <w:szCs w:val="28"/>
        </w:rPr>
        <w:t xml:space="preserve"> </w:t>
      </w:r>
      <w:r w:rsidRPr="008D4A23">
        <w:rPr>
          <w:rFonts w:cstheme="minorHAnsi"/>
          <w:color w:val="000000"/>
          <w:sz w:val="28"/>
          <w:szCs w:val="28"/>
        </w:rPr>
        <w:t>spent, those actions are not regarded as constituting an actual taxable supply of services</w:t>
      </w:r>
      <w:r w:rsidR="005B40AF" w:rsidRPr="008D4A23">
        <w:rPr>
          <w:rFonts w:cstheme="minorHAnsi"/>
          <w:color w:val="000000"/>
          <w:sz w:val="28"/>
          <w:szCs w:val="28"/>
        </w:rPr>
        <w:t xml:space="preserve"> </w:t>
      </w:r>
      <w:r w:rsidRPr="008D4A23">
        <w:rPr>
          <w:rFonts w:cstheme="minorHAnsi"/>
          <w:color w:val="000000"/>
          <w:sz w:val="28"/>
          <w:szCs w:val="28"/>
        </w:rPr>
        <w:t>by the grantee to the grantor in terms of section 7(1) (a) of the VAT Act.”</w:t>
      </w:r>
    </w:p>
    <w:p w14:paraId="02F92A1D" w14:textId="77777777" w:rsidR="005B40AF" w:rsidRPr="004F3A3C" w:rsidRDefault="005B40AF" w:rsidP="000149DE">
      <w:pPr>
        <w:autoSpaceDE w:val="0"/>
        <w:autoSpaceDN w:val="0"/>
        <w:adjustRightInd w:val="0"/>
        <w:spacing w:after="0" w:line="240" w:lineRule="auto"/>
        <w:jc w:val="both"/>
        <w:rPr>
          <w:rFonts w:cstheme="minorHAnsi"/>
          <w:color w:val="000000"/>
          <w:sz w:val="28"/>
          <w:szCs w:val="28"/>
        </w:rPr>
      </w:pPr>
    </w:p>
    <w:p w14:paraId="274D8B7B" w14:textId="6BB677E9" w:rsidR="008D4A23" w:rsidRDefault="005B40AF" w:rsidP="000149DE">
      <w:pPr>
        <w:autoSpaceDE w:val="0"/>
        <w:autoSpaceDN w:val="0"/>
        <w:adjustRightInd w:val="0"/>
        <w:spacing w:after="0" w:line="240" w:lineRule="auto"/>
        <w:jc w:val="both"/>
        <w:rPr>
          <w:rFonts w:cstheme="minorHAnsi"/>
          <w:color w:val="000000"/>
          <w:sz w:val="28"/>
          <w:szCs w:val="28"/>
        </w:rPr>
      </w:pPr>
      <w:r w:rsidRPr="005B40AF">
        <w:rPr>
          <w:rFonts w:cstheme="minorHAnsi"/>
          <w:b/>
          <w:color w:val="000000"/>
          <w:sz w:val="28"/>
          <w:szCs w:val="28"/>
        </w:rPr>
        <w:t>1</w:t>
      </w:r>
      <w:r w:rsidR="00CC525A">
        <w:rPr>
          <w:rFonts w:cstheme="minorHAnsi"/>
          <w:b/>
          <w:color w:val="000000"/>
          <w:sz w:val="28"/>
          <w:szCs w:val="28"/>
        </w:rPr>
        <w:t>1</w:t>
      </w:r>
      <w:r w:rsidRPr="005B40AF">
        <w:rPr>
          <w:rFonts w:cstheme="minorHAnsi"/>
          <w:b/>
          <w:color w:val="000000"/>
          <w:sz w:val="28"/>
          <w:szCs w:val="28"/>
        </w:rPr>
        <w:t>.2.1</w:t>
      </w:r>
      <w:r>
        <w:rPr>
          <w:rFonts w:cstheme="minorHAnsi"/>
          <w:color w:val="000000"/>
          <w:sz w:val="28"/>
          <w:szCs w:val="28"/>
        </w:rPr>
        <w:t xml:space="preserve"> </w:t>
      </w:r>
      <w:r w:rsidR="00AA2589" w:rsidRPr="004F3A3C">
        <w:rPr>
          <w:rFonts w:cstheme="minorHAnsi"/>
          <w:color w:val="000000"/>
          <w:sz w:val="28"/>
          <w:szCs w:val="28"/>
        </w:rPr>
        <w:t xml:space="preserve">Grants can be either grants made for taxable supplies or grants made </w:t>
      </w:r>
    </w:p>
    <w:p w14:paraId="2BD15F9F" w14:textId="0C11F0BF" w:rsidR="00AA2589" w:rsidRPr="004F3A3C" w:rsidRDefault="00AA2589" w:rsidP="000149DE">
      <w:pPr>
        <w:autoSpaceDE w:val="0"/>
        <w:autoSpaceDN w:val="0"/>
        <w:adjustRightInd w:val="0"/>
        <w:spacing w:after="0" w:line="240" w:lineRule="auto"/>
        <w:ind w:left="720"/>
        <w:jc w:val="both"/>
        <w:rPr>
          <w:rFonts w:cstheme="minorHAnsi"/>
          <w:color w:val="000000"/>
          <w:sz w:val="28"/>
          <w:szCs w:val="28"/>
        </w:rPr>
      </w:pPr>
      <w:r w:rsidRPr="004F3A3C">
        <w:rPr>
          <w:rFonts w:cstheme="minorHAnsi"/>
          <w:color w:val="000000"/>
          <w:sz w:val="28"/>
          <w:szCs w:val="28"/>
        </w:rPr>
        <w:t>for exempt</w:t>
      </w:r>
      <w:r w:rsidR="005B40AF">
        <w:rPr>
          <w:rFonts w:cstheme="minorHAnsi"/>
          <w:color w:val="000000"/>
          <w:sz w:val="28"/>
          <w:szCs w:val="28"/>
        </w:rPr>
        <w:t xml:space="preserve"> s</w:t>
      </w:r>
      <w:r w:rsidRPr="004F3A3C">
        <w:rPr>
          <w:rFonts w:cstheme="minorHAnsi"/>
          <w:color w:val="000000"/>
          <w:sz w:val="28"/>
          <w:szCs w:val="28"/>
        </w:rPr>
        <w:t>upplies.</w:t>
      </w:r>
    </w:p>
    <w:p w14:paraId="1A4E1C60" w14:textId="77777777" w:rsidR="005B40AF" w:rsidRDefault="005B40AF" w:rsidP="000149DE">
      <w:pPr>
        <w:autoSpaceDE w:val="0"/>
        <w:autoSpaceDN w:val="0"/>
        <w:adjustRightInd w:val="0"/>
        <w:spacing w:after="0" w:line="240" w:lineRule="auto"/>
        <w:jc w:val="both"/>
        <w:rPr>
          <w:rFonts w:cstheme="minorHAnsi"/>
          <w:color w:val="000000"/>
          <w:sz w:val="28"/>
          <w:szCs w:val="28"/>
        </w:rPr>
      </w:pPr>
    </w:p>
    <w:p w14:paraId="41A34F8A" w14:textId="24F1FB50" w:rsidR="00AA2589" w:rsidRDefault="005B40AF" w:rsidP="000149DE">
      <w:pPr>
        <w:autoSpaceDE w:val="0"/>
        <w:autoSpaceDN w:val="0"/>
        <w:adjustRightInd w:val="0"/>
        <w:spacing w:after="0" w:line="240" w:lineRule="auto"/>
        <w:jc w:val="both"/>
        <w:rPr>
          <w:rFonts w:cstheme="minorHAnsi"/>
          <w:color w:val="000000"/>
          <w:sz w:val="28"/>
          <w:szCs w:val="28"/>
        </w:rPr>
      </w:pPr>
      <w:r w:rsidRPr="005B40AF">
        <w:rPr>
          <w:rFonts w:cstheme="minorHAnsi"/>
          <w:b/>
          <w:color w:val="000000"/>
          <w:sz w:val="28"/>
          <w:szCs w:val="28"/>
        </w:rPr>
        <w:t>1</w:t>
      </w:r>
      <w:r w:rsidR="00CC525A">
        <w:rPr>
          <w:rFonts w:cstheme="minorHAnsi"/>
          <w:b/>
          <w:color w:val="000000"/>
          <w:sz w:val="28"/>
          <w:szCs w:val="28"/>
        </w:rPr>
        <w:t>1</w:t>
      </w:r>
      <w:r w:rsidRPr="005B40AF">
        <w:rPr>
          <w:rFonts w:cstheme="minorHAnsi"/>
          <w:b/>
          <w:color w:val="000000"/>
          <w:sz w:val="28"/>
          <w:szCs w:val="28"/>
        </w:rPr>
        <w:t>.2.2</w:t>
      </w:r>
      <w:r>
        <w:rPr>
          <w:rFonts w:cstheme="minorHAnsi"/>
          <w:b/>
          <w:color w:val="000000"/>
          <w:sz w:val="28"/>
          <w:szCs w:val="28"/>
        </w:rPr>
        <w:t xml:space="preserve"> </w:t>
      </w:r>
      <w:r w:rsidR="00AA2589" w:rsidRPr="004F3A3C">
        <w:rPr>
          <w:rFonts w:cstheme="minorHAnsi"/>
          <w:color w:val="000000"/>
          <w:sz w:val="28"/>
          <w:szCs w:val="28"/>
        </w:rPr>
        <w:t>Grants received for the purposes of making taxable supplies are zero rated supplies. A</w:t>
      </w:r>
      <w:r>
        <w:rPr>
          <w:rFonts w:cstheme="minorHAnsi"/>
          <w:color w:val="000000"/>
          <w:sz w:val="28"/>
          <w:szCs w:val="28"/>
        </w:rPr>
        <w:t xml:space="preserve"> </w:t>
      </w:r>
      <w:r w:rsidR="00AA2589" w:rsidRPr="004F3A3C">
        <w:rPr>
          <w:rFonts w:cstheme="minorHAnsi"/>
          <w:color w:val="000000"/>
          <w:sz w:val="28"/>
          <w:szCs w:val="28"/>
        </w:rPr>
        <w:t>grant is subject to VAT at a zero rate only where the municipality has not actually</w:t>
      </w:r>
      <w:r>
        <w:rPr>
          <w:rFonts w:cstheme="minorHAnsi"/>
          <w:color w:val="000000"/>
          <w:sz w:val="28"/>
          <w:szCs w:val="28"/>
        </w:rPr>
        <w:t xml:space="preserve"> </w:t>
      </w:r>
      <w:r w:rsidR="00AA2589" w:rsidRPr="004F3A3C">
        <w:rPr>
          <w:rFonts w:cstheme="minorHAnsi"/>
          <w:color w:val="000000"/>
          <w:sz w:val="28"/>
          <w:szCs w:val="28"/>
        </w:rPr>
        <w:t>supplied any goods or services to the public authority, municipality or constitutional</w:t>
      </w:r>
      <w:r>
        <w:rPr>
          <w:rFonts w:cstheme="minorHAnsi"/>
          <w:color w:val="000000"/>
          <w:sz w:val="28"/>
          <w:szCs w:val="28"/>
        </w:rPr>
        <w:t xml:space="preserve"> </w:t>
      </w:r>
      <w:r w:rsidR="00AA2589" w:rsidRPr="004F3A3C">
        <w:rPr>
          <w:rFonts w:cstheme="minorHAnsi"/>
          <w:color w:val="000000"/>
          <w:sz w:val="28"/>
          <w:szCs w:val="28"/>
        </w:rPr>
        <w:t>institution making the payment. Where there is an actual supply of goods or services by</w:t>
      </w:r>
      <w:r>
        <w:rPr>
          <w:rFonts w:cstheme="minorHAnsi"/>
          <w:color w:val="000000"/>
          <w:sz w:val="28"/>
          <w:szCs w:val="28"/>
        </w:rPr>
        <w:t xml:space="preserve"> </w:t>
      </w:r>
      <w:r w:rsidR="00AA2589" w:rsidRPr="004F3A3C">
        <w:rPr>
          <w:rFonts w:cstheme="minorHAnsi"/>
          <w:color w:val="000000"/>
          <w:sz w:val="28"/>
          <w:szCs w:val="28"/>
        </w:rPr>
        <w:t>the municipality, the supply will be subject to Vat at the standard rate.</w:t>
      </w:r>
    </w:p>
    <w:p w14:paraId="312F319B" w14:textId="77777777" w:rsidR="005B40AF" w:rsidRPr="004F3A3C" w:rsidRDefault="005B40AF" w:rsidP="000149DE">
      <w:pPr>
        <w:autoSpaceDE w:val="0"/>
        <w:autoSpaceDN w:val="0"/>
        <w:adjustRightInd w:val="0"/>
        <w:spacing w:after="0" w:line="240" w:lineRule="auto"/>
        <w:jc w:val="both"/>
        <w:rPr>
          <w:rFonts w:cstheme="minorHAnsi"/>
          <w:color w:val="000000"/>
          <w:sz w:val="28"/>
          <w:szCs w:val="28"/>
        </w:rPr>
      </w:pPr>
    </w:p>
    <w:p w14:paraId="68D206D1" w14:textId="0B5299A0" w:rsidR="008D4A23" w:rsidRDefault="005B40AF" w:rsidP="000149DE">
      <w:pPr>
        <w:autoSpaceDE w:val="0"/>
        <w:autoSpaceDN w:val="0"/>
        <w:adjustRightInd w:val="0"/>
        <w:spacing w:after="0" w:line="240" w:lineRule="auto"/>
        <w:jc w:val="both"/>
        <w:rPr>
          <w:rFonts w:cstheme="minorHAnsi"/>
          <w:color w:val="000000"/>
          <w:sz w:val="28"/>
          <w:szCs w:val="28"/>
        </w:rPr>
      </w:pPr>
      <w:r w:rsidRPr="005B40AF">
        <w:rPr>
          <w:rFonts w:cstheme="minorHAnsi"/>
          <w:b/>
          <w:color w:val="000000"/>
          <w:sz w:val="28"/>
          <w:szCs w:val="28"/>
        </w:rPr>
        <w:t>1</w:t>
      </w:r>
      <w:r w:rsidR="00CC525A">
        <w:rPr>
          <w:rFonts w:cstheme="minorHAnsi"/>
          <w:b/>
          <w:color w:val="000000"/>
          <w:sz w:val="28"/>
          <w:szCs w:val="28"/>
        </w:rPr>
        <w:t>1</w:t>
      </w:r>
      <w:r w:rsidRPr="005B40AF">
        <w:rPr>
          <w:rFonts w:cstheme="minorHAnsi"/>
          <w:b/>
          <w:color w:val="000000"/>
          <w:sz w:val="28"/>
          <w:szCs w:val="28"/>
        </w:rPr>
        <w:t>.2.3</w:t>
      </w:r>
      <w:r w:rsidR="009E3D81">
        <w:rPr>
          <w:rFonts w:cstheme="minorHAnsi"/>
          <w:b/>
          <w:color w:val="000000"/>
          <w:sz w:val="28"/>
          <w:szCs w:val="28"/>
        </w:rPr>
        <w:t xml:space="preserve">. </w:t>
      </w:r>
      <w:r w:rsidR="00AA2589" w:rsidRPr="004F3A3C">
        <w:rPr>
          <w:rFonts w:cstheme="minorHAnsi"/>
          <w:color w:val="000000"/>
          <w:sz w:val="28"/>
          <w:szCs w:val="28"/>
        </w:rPr>
        <w:t>Where a grant is received by a municipality from a public authority, constitutional</w:t>
      </w:r>
      <w:r>
        <w:rPr>
          <w:rFonts w:cstheme="minorHAnsi"/>
          <w:color w:val="000000"/>
          <w:sz w:val="28"/>
          <w:szCs w:val="28"/>
        </w:rPr>
        <w:t xml:space="preserve"> </w:t>
      </w:r>
      <w:r w:rsidR="00AA2589" w:rsidRPr="004F3A3C">
        <w:rPr>
          <w:rFonts w:cstheme="minorHAnsi"/>
          <w:color w:val="000000"/>
          <w:sz w:val="28"/>
          <w:szCs w:val="28"/>
        </w:rPr>
        <w:t>institution, or another municipality, the receipt gives rise to a deemed supply of services in</w:t>
      </w:r>
      <w:r>
        <w:rPr>
          <w:rFonts w:cstheme="minorHAnsi"/>
          <w:color w:val="000000"/>
          <w:sz w:val="28"/>
          <w:szCs w:val="28"/>
        </w:rPr>
        <w:t xml:space="preserve"> </w:t>
      </w:r>
      <w:r w:rsidR="00AA2589" w:rsidRPr="004F3A3C">
        <w:rPr>
          <w:rFonts w:cstheme="minorHAnsi"/>
          <w:color w:val="000000"/>
          <w:sz w:val="28"/>
          <w:szCs w:val="28"/>
        </w:rPr>
        <w:t>terms of section 8(5A) of the VAT Act. This deemed supply is zero-</w:t>
      </w:r>
      <w:r w:rsidR="00C22B29" w:rsidRPr="004F3A3C">
        <w:rPr>
          <w:rFonts w:cstheme="minorHAnsi"/>
          <w:color w:val="000000"/>
          <w:sz w:val="28"/>
          <w:szCs w:val="28"/>
        </w:rPr>
        <w:t>rated in terms of section</w:t>
      </w:r>
      <w:r w:rsidR="00AA2589" w:rsidRPr="004F3A3C">
        <w:rPr>
          <w:rFonts w:cstheme="minorHAnsi"/>
          <w:color w:val="000000"/>
          <w:sz w:val="28"/>
          <w:szCs w:val="28"/>
        </w:rPr>
        <w:t>11(2) (t) of the VAT Act, provided that the grant is f</w:t>
      </w:r>
      <w:r w:rsidR="00C22B29" w:rsidRPr="004F3A3C">
        <w:rPr>
          <w:rFonts w:cstheme="minorHAnsi"/>
          <w:color w:val="000000"/>
          <w:sz w:val="28"/>
          <w:szCs w:val="28"/>
        </w:rPr>
        <w:t xml:space="preserve">or the purpose of assisting the </w:t>
      </w:r>
      <w:r w:rsidR="00AA2589" w:rsidRPr="004F3A3C">
        <w:rPr>
          <w:rFonts w:cstheme="minorHAnsi"/>
          <w:color w:val="000000"/>
          <w:sz w:val="28"/>
          <w:szCs w:val="28"/>
        </w:rPr>
        <w:t>municipality to make taxable supplies of goods or services i</w:t>
      </w:r>
      <w:r w:rsidR="00C22B29" w:rsidRPr="004F3A3C">
        <w:rPr>
          <w:rFonts w:cstheme="minorHAnsi"/>
          <w:color w:val="000000"/>
          <w:sz w:val="28"/>
          <w:szCs w:val="28"/>
        </w:rPr>
        <w:t>n the course of its enterprise.</w:t>
      </w:r>
    </w:p>
    <w:p w14:paraId="62A3CF8E" w14:textId="77777777" w:rsidR="008D4A23" w:rsidRDefault="008D4A23" w:rsidP="000149DE">
      <w:pPr>
        <w:autoSpaceDE w:val="0"/>
        <w:autoSpaceDN w:val="0"/>
        <w:adjustRightInd w:val="0"/>
        <w:spacing w:after="0" w:line="240" w:lineRule="auto"/>
        <w:jc w:val="both"/>
        <w:rPr>
          <w:rFonts w:cstheme="minorHAnsi"/>
          <w:color w:val="000000"/>
          <w:sz w:val="28"/>
          <w:szCs w:val="28"/>
        </w:rPr>
      </w:pPr>
    </w:p>
    <w:p w14:paraId="7A8EE44B" w14:textId="5C5C793C" w:rsidR="00AA2589" w:rsidRPr="004F3A3C" w:rsidRDefault="00AA2589" w:rsidP="000149DE">
      <w:pPr>
        <w:autoSpaceDE w:val="0"/>
        <w:autoSpaceDN w:val="0"/>
        <w:adjustRightInd w:val="0"/>
        <w:spacing w:after="0" w:line="240" w:lineRule="auto"/>
        <w:jc w:val="both"/>
        <w:rPr>
          <w:rFonts w:cstheme="minorHAnsi"/>
          <w:color w:val="000000"/>
          <w:sz w:val="28"/>
          <w:szCs w:val="28"/>
        </w:rPr>
      </w:pPr>
      <w:r w:rsidRPr="004F3A3C">
        <w:rPr>
          <w:rFonts w:cstheme="minorHAnsi"/>
          <w:color w:val="000000"/>
          <w:sz w:val="28"/>
          <w:szCs w:val="28"/>
        </w:rPr>
        <w:t xml:space="preserve"> If a grant is received for the purposes of exempt or </w:t>
      </w:r>
      <w:r w:rsidR="00C22B29" w:rsidRPr="004F3A3C">
        <w:rPr>
          <w:rFonts w:cstheme="minorHAnsi"/>
          <w:color w:val="000000"/>
          <w:sz w:val="28"/>
          <w:szCs w:val="28"/>
        </w:rPr>
        <w:t>other non-taxable purposes, the</w:t>
      </w:r>
      <w:r w:rsidR="009E3D81">
        <w:rPr>
          <w:rFonts w:cstheme="minorHAnsi"/>
          <w:color w:val="000000"/>
          <w:sz w:val="28"/>
          <w:szCs w:val="28"/>
        </w:rPr>
        <w:t xml:space="preserve"> </w:t>
      </w:r>
      <w:r w:rsidRPr="004F3A3C">
        <w:rPr>
          <w:rFonts w:cstheme="minorHAnsi"/>
          <w:color w:val="000000"/>
          <w:sz w:val="28"/>
          <w:szCs w:val="28"/>
        </w:rPr>
        <w:t>municipality will not be entitled to claim any input tax in r</w:t>
      </w:r>
      <w:r w:rsidR="00C22B29" w:rsidRPr="004F3A3C">
        <w:rPr>
          <w:rFonts w:cstheme="minorHAnsi"/>
          <w:color w:val="000000"/>
          <w:sz w:val="28"/>
          <w:szCs w:val="28"/>
        </w:rPr>
        <w:t xml:space="preserve">espect of any goods or services acquired in this regard. </w:t>
      </w:r>
      <w:r w:rsidRPr="004F3A3C">
        <w:rPr>
          <w:rFonts w:cstheme="minorHAnsi"/>
          <w:color w:val="000000"/>
          <w:sz w:val="28"/>
          <w:szCs w:val="28"/>
        </w:rPr>
        <w:t>A grant must be attributed and declared on the VAT 201</w:t>
      </w:r>
      <w:r w:rsidR="00C22B29" w:rsidRPr="004F3A3C">
        <w:rPr>
          <w:rFonts w:cstheme="minorHAnsi"/>
          <w:color w:val="000000"/>
          <w:sz w:val="28"/>
          <w:szCs w:val="28"/>
        </w:rPr>
        <w:t xml:space="preserve"> return according to whether it </w:t>
      </w:r>
      <w:r w:rsidRPr="004F3A3C">
        <w:rPr>
          <w:rFonts w:cstheme="minorHAnsi"/>
          <w:color w:val="000000"/>
          <w:sz w:val="28"/>
          <w:szCs w:val="28"/>
        </w:rPr>
        <w:t>relates to taxable, exempt or other non-taxable suppli</w:t>
      </w:r>
      <w:r w:rsidR="00C22B29" w:rsidRPr="004F3A3C">
        <w:rPr>
          <w:rFonts w:cstheme="minorHAnsi"/>
          <w:color w:val="000000"/>
          <w:sz w:val="28"/>
          <w:szCs w:val="28"/>
        </w:rPr>
        <w:t xml:space="preserve">es. Where the grant is for both </w:t>
      </w:r>
      <w:r w:rsidRPr="004F3A3C">
        <w:rPr>
          <w:rFonts w:cstheme="minorHAnsi"/>
          <w:color w:val="000000"/>
          <w:sz w:val="28"/>
          <w:szCs w:val="28"/>
        </w:rPr>
        <w:t>taxable and non-taxable purposes, the receipt must be attributed accordingly. For</w:t>
      </w:r>
    </w:p>
    <w:p w14:paraId="56D8FB0B" w14:textId="16997432" w:rsidR="00AA2589" w:rsidRDefault="00AA2589" w:rsidP="000149DE">
      <w:pPr>
        <w:autoSpaceDE w:val="0"/>
        <w:autoSpaceDN w:val="0"/>
        <w:adjustRightInd w:val="0"/>
        <w:spacing w:after="0" w:line="240" w:lineRule="auto"/>
        <w:jc w:val="both"/>
        <w:rPr>
          <w:rFonts w:cstheme="minorHAnsi"/>
          <w:color w:val="000000"/>
          <w:sz w:val="28"/>
          <w:szCs w:val="28"/>
        </w:rPr>
      </w:pPr>
      <w:r w:rsidRPr="004F3A3C">
        <w:rPr>
          <w:rFonts w:cstheme="minorHAnsi"/>
          <w:color w:val="000000"/>
          <w:sz w:val="28"/>
          <w:szCs w:val="28"/>
        </w:rPr>
        <w:t>example, if 30% of a grant is for subsidizing the municipality’s public transport busine</w:t>
      </w:r>
      <w:r w:rsidR="00C22B29" w:rsidRPr="004F3A3C">
        <w:rPr>
          <w:rFonts w:cstheme="minorHAnsi"/>
          <w:color w:val="000000"/>
          <w:sz w:val="28"/>
          <w:szCs w:val="28"/>
        </w:rPr>
        <w:t xml:space="preserve">ss </w:t>
      </w:r>
      <w:r w:rsidRPr="004F3A3C">
        <w:rPr>
          <w:rFonts w:cstheme="minorHAnsi"/>
          <w:color w:val="000000"/>
          <w:sz w:val="28"/>
          <w:szCs w:val="28"/>
        </w:rPr>
        <w:t>(exempt supply) and 70% is for subsidising the supply of wat</w:t>
      </w:r>
      <w:r w:rsidR="00C22B29" w:rsidRPr="004F3A3C">
        <w:rPr>
          <w:rFonts w:cstheme="minorHAnsi"/>
          <w:color w:val="000000"/>
          <w:sz w:val="28"/>
          <w:szCs w:val="28"/>
        </w:rPr>
        <w:t xml:space="preserve">er and electricity to customers </w:t>
      </w:r>
      <w:r w:rsidRPr="004F3A3C">
        <w:rPr>
          <w:rFonts w:cstheme="minorHAnsi"/>
          <w:color w:val="000000"/>
          <w:sz w:val="28"/>
          <w:szCs w:val="28"/>
        </w:rPr>
        <w:t>(taxable supplies), 30% of the grant will not be taxable, and the other 70% will be subject</w:t>
      </w:r>
      <w:r w:rsidR="009E3D81">
        <w:rPr>
          <w:rFonts w:cstheme="minorHAnsi"/>
          <w:color w:val="000000"/>
          <w:sz w:val="28"/>
          <w:szCs w:val="28"/>
        </w:rPr>
        <w:t xml:space="preserve"> </w:t>
      </w:r>
      <w:r w:rsidRPr="004F3A3C">
        <w:rPr>
          <w:rFonts w:cstheme="minorHAnsi"/>
          <w:color w:val="000000"/>
          <w:sz w:val="28"/>
          <w:szCs w:val="28"/>
        </w:rPr>
        <w:t>to VAT at the zero rate.</w:t>
      </w:r>
    </w:p>
    <w:p w14:paraId="180B6334" w14:textId="77777777" w:rsidR="00334B6B" w:rsidRPr="004F3A3C" w:rsidRDefault="00334B6B" w:rsidP="000149DE">
      <w:pPr>
        <w:autoSpaceDE w:val="0"/>
        <w:autoSpaceDN w:val="0"/>
        <w:adjustRightInd w:val="0"/>
        <w:spacing w:after="0" w:line="240" w:lineRule="auto"/>
        <w:jc w:val="both"/>
        <w:rPr>
          <w:rFonts w:cstheme="minorHAnsi"/>
          <w:color w:val="000000"/>
          <w:sz w:val="28"/>
          <w:szCs w:val="28"/>
        </w:rPr>
      </w:pPr>
    </w:p>
    <w:p w14:paraId="5D23C11E" w14:textId="77777777" w:rsidR="00B312AC" w:rsidRPr="004F3A3C" w:rsidRDefault="00B312AC" w:rsidP="000149DE">
      <w:pPr>
        <w:pStyle w:val="Default"/>
        <w:jc w:val="both"/>
        <w:rPr>
          <w:rFonts w:asciiTheme="minorHAnsi" w:hAnsiTheme="minorHAnsi" w:cstheme="minorHAnsi"/>
          <w:color w:val="auto"/>
          <w:sz w:val="28"/>
          <w:szCs w:val="28"/>
        </w:rPr>
      </w:pPr>
    </w:p>
    <w:p w14:paraId="3FB479DC" w14:textId="710A878F" w:rsidR="0049471E" w:rsidRPr="004F3A3C" w:rsidRDefault="005B40AF" w:rsidP="000149DE">
      <w:pPr>
        <w:spacing w:before="100" w:beforeAutospacing="1" w:after="100" w:afterAutospacing="1" w:line="240" w:lineRule="auto"/>
        <w:jc w:val="both"/>
        <w:outlineLvl w:val="1"/>
        <w:rPr>
          <w:rFonts w:eastAsia="Times New Roman" w:cstheme="minorHAnsi"/>
          <w:b/>
          <w:bCs/>
          <w:color w:val="000000"/>
          <w:sz w:val="28"/>
          <w:szCs w:val="28"/>
          <w:lang w:eastAsia="en-ZA"/>
        </w:rPr>
      </w:pPr>
      <w:r>
        <w:rPr>
          <w:rFonts w:eastAsia="Times New Roman" w:cstheme="minorHAnsi"/>
          <w:b/>
          <w:bCs/>
          <w:color w:val="000000"/>
          <w:sz w:val="28"/>
          <w:szCs w:val="28"/>
          <w:lang w:eastAsia="en-ZA"/>
        </w:rPr>
        <w:lastRenderedPageBreak/>
        <w:t>1</w:t>
      </w:r>
      <w:r w:rsidR="00CC525A">
        <w:rPr>
          <w:rFonts w:eastAsia="Times New Roman" w:cstheme="minorHAnsi"/>
          <w:b/>
          <w:bCs/>
          <w:color w:val="000000"/>
          <w:sz w:val="28"/>
          <w:szCs w:val="28"/>
          <w:lang w:eastAsia="en-ZA"/>
        </w:rPr>
        <w:t>2</w:t>
      </w:r>
      <w:r>
        <w:rPr>
          <w:rFonts w:eastAsia="Times New Roman" w:cstheme="minorHAnsi"/>
          <w:b/>
          <w:bCs/>
          <w:color w:val="000000"/>
          <w:sz w:val="28"/>
          <w:szCs w:val="28"/>
          <w:lang w:eastAsia="en-ZA"/>
        </w:rPr>
        <w:t xml:space="preserve">. </w:t>
      </w:r>
      <w:r w:rsidR="00154038" w:rsidRPr="004F3A3C">
        <w:rPr>
          <w:rFonts w:eastAsia="Times New Roman" w:cstheme="minorHAnsi"/>
          <w:b/>
          <w:bCs/>
          <w:color w:val="000000"/>
          <w:sz w:val="28"/>
          <w:szCs w:val="28"/>
          <w:lang w:eastAsia="en-ZA"/>
        </w:rPr>
        <w:t>SUBMISSION OF VAT 201 RETURNS</w:t>
      </w:r>
    </w:p>
    <w:p w14:paraId="09B3BE39" w14:textId="77777777" w:rsidR="0049471E" w:rsidRPr="004F3A3C" w:rsidRDefault="0049471E" w:rsidP="000149DE">
      <w:pPr>
        <w:pStyle w:val="Default"/>
        <w:numPr>
          <w:ilvl w:val="0"/>
          <w:numId w:val="15"/>
        </w:numPr>
        <w:jc w:val="both"/>
        <w:rPr>
          <w:rFonts w:asciiTheme="minorHAnsi" w:eastAsia="Times New Roman" w:hAnsiTheme="minorHAnsi" w:cstheme="minorHAnsi"/>
          <w:sz w:val="28"/>
          <w:szCs w:val="28"/>
          <w:lang w:eastAsia="en-ZA"/>
        </w:rPr>
      </w:pPr>
      <w:r w:rsidRPr="004F3A3C">
        <w:rPr>
          <w:rFonts w:asciiTheme="minorHAnsi" w:eastAsia="Times New Roman" w:hAnsiTheme="minorHAnsi" w:cstheme="minorHAnsi"/>
          <w:sz w:val="28"/>
          <w:szCs w:val="28"/>
          <w:lang w:eastAsia="en-ZA"/>
        </w:rPr>
        <w:t>A vendor is required to submit VAT returns and make payments of the VAT liabilities (or claim a VAT refund) in accordance with the</w:t>
      </w:r>
      <w:r w:rsidRPr="004F3A3C">
        <w:rPr>
          <w:rFonts w:asciiTheme="minorHAnsi" w:eastAsia="Times New Roman" w:hAnsiTheme="minorHAnsi" w:cstheme="minorHAnsi"/>
          <w:color w:val="000000" w:themeColor="text1"/>
          <w:sz w:val="28"/>
          <w:szCs w:val="28"/>
          <w:lang w:eastAsia="en-ZA"/>
        </w:rPr>
        <w:t xml:space="preserve"> </w:t>
      </w:r>
      <w:hyperlink r:id="rId8" w:history="1">
        <w:r w:rsidRPr="004F3A3C">
          <w:rPr>
            <w:rFonts w:asciiTheme="minorHAnsi" w:eastAsia="Times New Roman" w:hAnsiTheme="minorHAnsi" w:cstheme="minorHAnsi"/>
            <w:color w:val="000000" w:themeColor="text1"/>
            <w:sz w:val="28"/>
            <w:szCs w:val="28"/>
            <w:lang w:eastAsia="en-ZA"/>
          </w:rPr>
          <w:t>tax period</w:t>
        </w:r>
      </w:hyperlink>
      <w:r w:rsidRPr="004F3A3C">
        <w:rPr>
          <w:rFonts w:asciiTheme="minorHAnsi" w:eastAsia="Times New Roman" w:hAnsiTheme="minorHAnsi" w:cstheme="minorHAnsi"/>
          <w:color w:val="000000" w:themeColor="text1"/>
          <w:sz w:val="28"/>
          <w:szCs w:val="28"/>
          <w:lang w:eastAsia="en-ZA"/>
        </w:rPr>
        <w:t xml:space="preserve"> </w:t>
      </w:r>
      <w:r w:rsidRPr="004F3A3C">
        <w:rPr>
          <w:rFonts w:asciiTheme="minorHAnsi" w:eastAsia="Times New Roman" w:hAnsiTheme="minorHAnsi" w:cstheme="minorHAnsi"/>
          <w:sz w:val="28"/>
          <w:szCs w:val="28"/>
          <w:lang w:eastAsia="en-ZA"/>
        </w:rPr>
        <w:t>allocated to the vendor. The VAT returns and payments are normally submitted / made on or before the 25th day after the end of the tax period. Late payments of VAT will attract a penalty and interest</w:t>
      </w:r>
    </w:p>
    <w:p w14:paraId="4F954741" w14:textId="77777777" w:rsidR="0049471E" w:rsidRPr="004F3A3C" w:rsidRDefault="0049471E" w:rsidP="000149DE">
      <w:pPr>
        <w:pStyle w:val="Default"/>
        <w:jc w:val="both"/>
        <w:rPr>
          <w:rFonts w:asciiTheme="minorHAnsi" w:eastAsia="Times New Roman" w:hAnsiTheme="minorHAnsi" w:cstheme="minorHAnsi"/>
          <w:sz w:val="28"/>
          <w:szCs w:val="28"/>
          <w:lang w:eastAsia="en-ZA"/>
        </w:rPr>
      </w:pPr>
    </w:p>
    <w:p w14:paraId="2CDB6B72" w14:textId="77777777" w:rsidR="009E3D81" w:rsidRPr="00246104" w:rsidRDefault="0049471E" w:rsidP="000149DE">
      <w:pPr>
        <w:pStyle w:val="Default"/>
        <w:numPr>
          <w:ilvl w:val="0"/>
          <w:numId w:val="15"/>
        </w:numPr>
        <w:jc w:val="both"/>
        <w:rPr>
          <w:rFonts w:asciiTheme="minorHAnsi" w:hAnsiTheme="minorHAnsi" w:cstheme="minorHAnsi"/>
          <w:sz w:val="28"/>
          <w:szCs w:val="28"/>
        </w:rPr>
      </w:pPr>
      <w:r w:rsidRPr="004F3A3C">
        <w:rPr>
          <w:rFonts w:asciiTheme="minorHAnsi" w:hAnsiTheme="minorHAnsi" w:cstheme="minorHAnsi"/>
          <w:sz w:val="28"/>
          <w:szCs w:val="28"/>
        </w:rPr>
        <w:t xml:space="preserve">On 19 October 2012, SARS clarified in a notice that vendors who use </w:t>
      </w:r>
      <w:proofErr w:type="spellStart"/>
      <w:r w:rsidRPr="004F3A3C">
        <w:rPr>
          <w:rFonts w:asciiTheme="minorHAnsi" w:hAnsiTheme="minorHAnsi" w:cstheme="minorHAnsi"/>
          <w:sz w:val="28"/>
          <w:szCs w:val="28"/>
        </w:rPr>
        <w:t>eFiling</w:t>
      </w:r>
      <w:proofErr w:type="spellEnd"/>
      <w:r w:rsidRPr="004F3A3C">
        <w:rPr>
          <w:rFonts w:asciiTheme="minorHAnsi" w:hAnsiTheme="minorHAnsi" w:cstheme="minorHAnsi"/>
          <w:sz w:val="28"/>
          <w:szCs w:val="28"/>
        </w:rPr>
        <w:t xml:space="preserve"> may continue to submit their VAT declarations on the 25th of the month. The benefit of no interest, penalties or prosecution will remain effective if the declaration and payment are submitted via </w:t>
      </w:r>
      <w:proofErr w:type="spellStart"/>
      <w:r w:rsidRPr="004F3A3C">
        <w:rPr>
          <w:rFonts w:asciiTheme="minorHAnsi" w:hAnsiTheme="minorHAnsi" w:cstheme="minorHAnsi"/>
          <w:sz w:val="28"/>
          <w:szCs w:val="28"/>
        </w:rPr>
        <w:t>eFiling</w:t>
      </w:r>
      <w:proofErr w:type="spellEnd"/>
      <w:r w:rsidRPr="004F3A3C">
        <w:rPr>
          <w:rFonts w:asciiTheme="minorHAnsi" w:hAnsiTheme="minorHAnsi" w:cstheme="minorHAnsi"/>
          <w:sz w:val="28"/>
          <w:szCs w:val="28"/>
        </w:rPr>
        <w:t xml:space="preserve"> (or EFT) on or before the last business day</w:t>
      </w:r>
      <w:r w:rsidR="00246104">
        <w:rPr>
          <w:rFonts w:asciiTheme="minorHAnsi" w:hAnsiTheme="minorHAnsi" w:cstheme="minorHAnsi"/>
          <w:sz w:val="28"/>
          <w:szCs w:val="28"/>
        </w:rPr>
        <w:t>.</w:t>
      </w:r>
    </w:p>
    <w:p w14:paraId="78B5BE4A" w14:textId="77777777" w:rsidR="00242B50" w:rsidRPr="004F3A3C" w:rsidRDefault="00242B50" w:rsidP="000149DE">
      <w:pPr>
        <w:pStyle w:val="Default"/>
        <w:jc w:val="both"/>
        <w:rPr>
          <w:rFonts w:asciiTheme="minorHAnsi" w:hAnsiTheme="minorHAnsi" w:cstheme="minorHAnsi"/>
          <w:b/>
          <w:sz w:val="28"/>
          <w:szCs w:val="28"/>
        </w:rPr>
      </w:pPr>
    </w:p>
    <w:p w14:paraId="6F5220D4" w14:textId="52E31E66" w:rsidR="009E16BE" w:rsidRPr="004F3A3C" w:rsidRDefault="005B40AF" w:rsidP="000149DE">
      <w:pPr>
        <w:pStyle w:val="Default"/>
        <w:jc w:val="both"/>
        <w:rPr>
          <w:rFonts w:asciiTheme="minorHAnsi" w:hAnsiTheme="minorHAnsi" w:cstheme="minorHAnsi"/>
          <w:b/>
          <w:sz w:val="28"/>
          <w:szCs w:val="28"/>
        </w:rPr>
      </w:pPr>
      <w:r>
        <w:rPr>
          <w:rFonts w:asciiTheme="minorHAnsi" w:hAnsiTheme="minorHAnsi" w:cstheme="minorHAnsi"/>
          <w:b/>
          <w:sz w:val="28"/>
          <w:szCs w:val="28"/>
        </w:rPr>
        <w:t>1</w:t>
      </w:r>
      <w:r w:rsidR="00CC525A">
        <w:rPr>
          <w:rFonts w:asciiTheme="minorHAnsi" w:hAnsiTheme="minorHAnsi" w:cstheme="minorHAnsi"/>
          <w:b/>
          <w:sz w:val="28"/>
          <w:szCs w:val="28"/>
        </w:rPr>
        <w:t>3</w:t>
      </w:r>
      <w:r>
        <w:rPr>
          <w:rFonts w:asciiTheme="minorHAnsi" w:hAnsiTheme="minorHAnsi" w:cstheme="minorHAnsi"/>
          <w:b/>
          <w:sz w:val="28"/>
          <w:szCs w:val="28"/>
        </w:rPr>
        <w:t xml:space="preserve">. </w:t>
      </w:r>
      <w:r w:rsidR="009E16BE" w:rsidRPr="004F3A3C">
        <w:rPr>
          <w:rFonts w:asciiTheme="minorHAnsi" w:hAnsiTheme="minorHAnsi" w:cstheme="minorHAnsi"/>
          <w:b/>
          <w:sz w:val="28"/>
          <w:szCs w:val="28"/>
        </w:rPr>
        <w:t>APPORTIONMENT METHOD</w:t>
      </w:r>
    </w:p>
    <w:p w14:paraId="3CC26046" w14:textId="77777777" w:rsidR="009E16BE" w:rsidRPr="004F3A3C" w:rsidRDefault="009E16BE" w:rsidP="000149DE">
      <w:pPr>
        <w:pStyle w:val="Default"/>
        <w:jc w:val="both"/>
        <w:rPr>
          <w:rFonts w:asciiTheme="minorHAnsi" w:hAnsiTheme="minorHAnsi" w:cstheme="minorHAnsi"/>
          <w:b/>
          <w:sz w:val="28"/>
          <w:szCs w:val="28"/>
        </w:rPr>
      </w:pPr>
    </w:p>
    <w:p w14:paraId="07F42FA1" w14:textId="77777777" w:rsidR="009E16BE" w:rsidRPr="004F3A3C" w:rsidRDefault="009E16BE" w:rsidP="000149DE">
      <w:pPr>
        <w:pStyle w:val="Default"/>
        <w:numPr>
          <w:ilvl w:val="0"/>
          <w:numId w:val="16"/>
        </w:numPr>
        <w:jc w:val="both"/>
        <w:rPr>
          <w:rFonts w:asciiTheme="minorHAnsi" w:hAnsiTheme="minorHAnsi" w:cstheme="minorHAnsi"/>
          <w:sz w:val="28"/>
          <w:szCs w:val="28"/>
        </w:rPr>
      </w:pPr>
      <w:r w:rsidRPr="004F3A3C">
        <w:rPr>
          <w:rFonts w:asciiTheme="minorHAnsi" w:hAnsiTheme="minorHAnsi" w:cstheme="minorHAnsi"/>
          <w:sz w:val="28"/>
          <w:szCs w:val="28"/>
        </w:rPr>
        <w:t>The SARS Binding General Ruling ( VAT) : NO. 4 ( Issue 3) that was issued on the 27</w:t>
      </w:r>
      <w:r w:rsidRPr="004F3A3C">
        <w:rPr>
          <w:rFonts w:asciiTheme="minorHAnsi" w:hAnsiTheme="minorHAnsi" w:cstheme="minorHAnsi"/>
          <w:sz w:val="28"/>
          <w:szCs w:val="28"/>
          <w:vertAlign w:val="superscript"/>
        </w:rPr>
        <w:t>th</w:t>
      </w:r>
      <w:r w:rsidRPr="004F3A3C">
        <w:rPr>
          <w:rFonts w:asciiTheme="minorHAnsi" w:hAnsiTheme="minorHAnsi" w:cstheme="minorHAnsi"/>
          <w:sz w:val="28"/>
          <w:szCs w:val="28"/>
        </w:rPr>
        <w:t xml:space="preserve"> March 2015, prescribes the acceptable apportionment </w:t>
      </w:r>
      <w:r w:rsidR="003A7E16" w:rsidRPr="004F3A3C">
        <w:rPr>
          <w:rFonts w:asciiTheme="minorHAnsi" w:hAnsiTheme="minorHAnsi" w:cstheme="minorHAnsi"/>
          <w:sz w:val="28"/>
          <w:szCs w:val="28"/>
        </w:rPr>
        <w:t>meth ology</w:t>
      </w:r>
      <w:r w:rsidRPr="004F3A3C">
        <w:rPr>
          <w:rFonts w:asciiTheme="minorHAnsi" w:hAnsiTheme="minorHAnsi" w:cstheme="minorHAnsi"/>
          <w:sz w:val="28"/>
          <w:szCs w:val="28"/>
        </w:rPr>
        <w:t xml:space="preserve"> to be applied by municipality and constitutes a BGR under Section 89 of the Tax Administration Act.</w:t>
      </w:r>
    </w:p>
    <w:p w14:paraId="3DD3F0EE" w14:textId="77777777" w:rsidR="007E7AE9" w:rsidRPr="004F3A3C" w:rsidRDefault="007E7AE9" w:rsidP="000149DE">
      <w:pPr>
        <w:pStyle w:val="Default"/>
        <w:jc w:val="both"/>
        <w:rPr>
          <w:rFonts w:asciiTheme="minorHAnsi" w:hAnsiTheme="minorHAnsi" w:cstheme="minorHAnsi"/>
          <w:sz w:val="28"/>
          <w:szCs w:val="28"/>
        </w:rPr>
      </w:pPr>
    </w:p>
    <w:p w14:paraId="06CEB235" w14:textId="77777777" w:rsidR="007E7AE9" w:rsidRPr="004F3A3C" w:rsidRDefault="007E7AE9" w:rsidP="000149DE">
      <w:pPr>
        <w:pStyle w:val="Default"/>
        <w:numPr>
          <w:ilvl w:val="0"/>
          <w:numId w:val="16"/>
        </w:numPr>
        <w:jc w:val="both"/>
        <w:rPr>
          <w:rFonts w:asciiTheme="minorHAnsi" w:hAnsiTheme="minorHAnsi" w:cstheme="minorHAnsi"/>
          <w:sz w:val="28"/>
          <w:szCs w:val="28"/>
        </w:rPr>
      </w:pPr>
      <w:r w:rsidRPr="004F3A3C">
        <w:rPr>
          <w:rFonts w:asciiTheme="minorHAnsi" w:hAnsiTheme="minorHAnsi" w:cstheme="minorHAnsi"/>
          <w:sz w:val="28"/>
          <w:szCs w:val="28"/>
        </w:rPr>
        <w:t>The VAT incurred on expenses acquired for a mixed purpose may be deducted as input tax to the extent determined in accordance with an apportionment method as contemplated in section 17( 1) ( that is , determined in  accordance with a ruling contemplated in section 41B OR Chapter 7 of the Tax Administration Act, 20111).</w:t>
      </w:r>
    </w:p>
    <w:p w14:paraId="42974344" w14:textId="77777777" w:rsidR="007E7AE9" w:rsidRPr="004F3A3C" w:rsidRDefault="007E7AE9" w:rsidP="000149DE">
      <w:pPr>
        <w:pStyle w:val="Default"/>
        <w:jc w:val="both"/>
        <w:rPr>
          <w:rFonts w:asciiTheme="minorHAnsi" w:hAnsiTheme="minorHAnsi" w:cstheme="minorHAnsi"/>
          <w:sz w:val="28"/>
          <w:szCs w:val="28"/>
        </w:rPr>
      </w:pPr>
    </w:p>
    <w:p w14:paraId="3FFC6165" w14:textId="77777777" w:rsidR="007E7AE9" w:rsidRPr="004F3A3C" w:rsidRDefault="007E7AE9" w:rsidP="000149DE">
      <w:pPr>
        <w:pStyle w:val="Default"/>
        <w:numPr>
          <w:ilvl w:val="0"/>
          <w:numId w:val="16"/>
        </w:numPr>
        <w:jc w:val="both"/>
        <w:rPr>
          <w:rFonts w:asciiTheme="minorHAnsi" w:hAnsiTheme="minorHAnsi" w:cstheme="minorHAnsi"/>
          <w:sz w:val="28"/>
          <w:szCs w:val="28"/>
        </w:rPr>
      </w:pPr>
      <w:r w:rsidRPr="004F3A3C">
        <w:rPr>
          <w:rFonts w:asciiTheme="minorHAnsi" w:hAnsiTheme="minorHAnsi" w:cstheme="minorHAnsi"/>
          <w:sz w:val="28"/>
          <w:szCs w:val="28"/>
        </w:rPr>
        <w:t xml:space="preserve">A municipality must </w:t>
      </w:r>
      <w:r w:rsidR="003C128A" w:rsidRPr="004F3A3C">
        <w:rPr>
          <w:rFonts w:asciiTheme="minorHAnsi" w:hAnsiTheme="minorHAnsi" w:cstheme="minorHAnsi"/>
          <w:sz w:val="28"/>
          <w:szCs w:val="28"/>
        </w:rPr>
        <w:t>use</w:t>
      </w:r>
      <w:r w:rsidRPr="004F3A3C">
        <w:rPr>
          <w:rFonts w:asciiTheme="minorHAnsi" w:hAnsiTheme="minorHAnsi" w:cstheme="minorHAnsi"/>
          <w:sz w:val="28"/>
          <w:szCs w:val="28"/>
        </w:rPr>
        <w:t xml:space="preserve"> a turnover based method of apportionment to determine the amount of </w:t>
      </w:r>
      <w:r w:rsidR="003C128A" w:rsidRPr="004F3A3C">
        <w:rPr>
          <w:rFonts w:asciiTheme="minorHAnsi" w:hAnsiTheme="minorHAnsi" w:cstheme="minorHAnsi"/>
          <w:sz w:val="28"/>
          <w:szCs w:val="28"/>
        </w:rPr>
        <w:t>goods or services for a mixed purpose.</w:t>
      </w:r>
    </w:p>
    <w:p w14:paraId="5031236D" w14:textId="77777777" w:rsidR="003C128A" w:rsidRPr="004F3A3C" w:rsidRDefault="003C128A" w:rsidP="000149DE">
      <w:pPr>
        <w:pStyle w:val="Default"/>
        <w:jc w:val="both"/>
        <w:rPr>
          <w:rFonts w:asciiTheme="minorHAnsi" w:hAnsiTheme="minorHAnsi" w:cstheme="minorHAnsi"/>
          <w:sz w:val="28"/>
          <w:szCs w:val="28"/>
        </w:rPr>
      </w:pPr>
    </w:p>
    <w:p w14:paraId="0828EE3C" w14:textId="77777777" w:rsidR="003C128A" w:rsidRPr="004F3A3C" w:rsidRDefault="003C128A" w:rsidP="000149DE">
      <w:pPr>
        <w:pStyle w:val="Default"/>
        <w:numPr>
          <w:ilvl w:val="0"/>
          <w:numId w:val="16"/>
        </w:numPr>
        <w:jc w:val="both"/>
        <w:rPr>
          <w:rFonts w:asciiTheme="minorHAnsi" w:hAnsiTheme="minorHAnsi" w:cstheme="minorHAnsi"/>
          <w:sz w:val="28"/>
          <w:szCs w:val="28"/>
        </w:rPr>
      </w:pPr>
      <w:r w:rsidRPr="004F3A3C">
        <w:rPr>
          <w:rFonts w:asciiTheme="minorHAnsi" w:hAnsiTheme="minorHAnsi" w:cstheme="minorHAnsi"/>
          <w:sz w:val="28"/>
          <w:szCs w:val="28"/>
        </w:rPr>
        <w:t>This standard method relies essentially on the simple arithmetic relationship between taxable and total supplies.</w:t>
      </w:r>
    </w:p>
    <w:p w14:paraId="25481AE9" w14:textId="77777777" w:rsidR="008C783E" w:rsidRPr="004F3A3C" w:rsidRDefault="008C783E" w:rsidP="000149DE">
      <w:pPr>
        <w:pStyle w:val="Default"/>
        <w:jc w:val="both"/>
        <w:rPr>
          <w:rFonts w:asciiTheme="minorHAnsi" w:hAnsiTheme="minorHAnsi" w:cstheme="minorHAnsi"/>
          <w:sz w:val="28"/>
          <w:szCs w:val="28"/>
        </w:rPr>
      </w:pPr>
    </w:p>
    <w:p w14:paraId="5A3D2F70" w14:textId="436DBC10" w:rsidR="00AD1FAD" w:rsidRPr="004F3A3C" w:rsidRDefault="005B40AF" w:rsidP="000149DE">
      <w:pPr>
        <w:pStyle w:val="Default"/>
        <w:jc w:val="both"/>
        <w:rPr>
          <w:rFonts w:asciiTheme="minorHAnsi" w:hAnsiTheme="minorHAnsi" w:cstheme="minorHAnsi"/>
          <w:b/>
          <w:sz w:val="28"/>
          <w:szCs w:val="28"/>
        </w:rPr>
      </w:pPr>
      <w:r>
        <w:rPr>
          <w:rFonts w:asciiTheme="minorHAnsi" w:hAnsiTheme="minorHAnsi" w:cstheme="minorHAnsi"/>
          <w:b/>
          <w:sz w:val="28"/>
          <w:szCs w:val="28"/>
        </w:rPr>
        <w:t>1</w:t>
      </w:r>
      <w:r w:rsidR="00CC525A">
        <w:rPr>
          <w:rFonts w:asciiTheme="minorHAnsi" w:hAnsiTheme="minorHAnsi" w:cstheme="minorHAnsi"/>
          <w:b/>
          <w:sz w:val="28"/>
          <w:szCs w:val="28"/>
        </w:rPr>
        <w:t>4</w:t>
      </w:r>
      <w:r>
        <w:rPr>
          <w:rFonts w:asciiTheme="minorHAnsi" w:hAnsiTheme="minorHAnsi" w:cstheme="minorHAnsi"/>
          <w:b/>
          <w:sz w:val="28"/>
          <w:szCs w:val="28"/>
        </w:rPr>
        <w:t xml:space="preserve">. </w:t>
      </w:r>
      <w:r w:rsidR="00DA0394" w:rsidRPr="004F3A3C">
        <w:rPr>
          <w:rFonts w:asciiTheme="minorHAnsi" w:hAnsiTheme="minorHAnsi" w:cstheme="minorHAnsi"/>
          <w:b/>
          <w:sz w:val="28"/>
          <w:szCs w:val="28"/>
        </w:rPr>
        <w:t>ACCOUNTING RECORDS</w:t>
      </w:r>
    </w:p>
    <w:p w14:paraId="7851D0DF" w14:textId="77777777" w:rsidR="00A31E78" w:rsidRPr="004F3A3C" w:rsidRDefault="00A31E78" w:rsidP="000149DE">
      <w:pPr>
        <w:pStyle w:val="Default"/>
        <w:jc w:val="both"/>
        <w:rPr>
          <w:rFonts w:asciiTheme="minorHAnsi" w:hAnsiTheme="minorHAnsi" w:cstheme="minorHAnsi"/>
          <w:b/>
          <w:sz w:val="28"/>
          <w:szCs w:val="28"/>
        </w:rPr>
      </w:pPr>
    </w:p>
    <w:p w14:paraId="75C6FE82" w14:textId="77777777" w:rsidR="00A31E78" w:rsidRPr="005B40AF" w:rsidRDefault="00A31E78" w:rsidP="000149DE">
      <w:pPr>
        <w:pStyle w:val="Default"/>
        <w:jc w:val="both"/>
        <w:rPr>
          <w:rFonts w:asciiTheme="minorHAnsi" w:hAnsiTheme="minorHAnsi" w:cstheme="minorHAnsi"/>
          <w:sz w:val="28"/>
          <w:szCs w:val="28"/>
        </w:rPr>
      </w:pPr>
      <w:r w:rsidRPr="005B40AF">
        <w:rPr>
          <w:rFonts w:asciiTheme="minorHAnsi" w:hAnsiTheme="minorHAnsi" w:cstheme="minorHAnsi"/>
          <w:sz w:val="28"/>
          <w:szCs w:val="28"/>
        </w:rPr>
        <w:t xml:space="preserve">It is good accounting practice to keep VAT control accounts. The main accounts will be output tax account input account and VAT Control account </w:t>
      </w:r>
    </w:p>
    <w:p w14:paraId="6E1EB909" w14:textId="3D6F68CB" w:rsidR="00C22B29" w:rsidRDefault="00C22B29" w:rsidP="000149DE">
      <w:pPr>
        <w:pStyle w:val="Default"/>
        <w:jc w:val="both"/>
        <w:rPr>
          <w:rFonts w:asciiTheme="minorHAnsi" w:hAnsiTheme="minorHAnsi" w:cstheme="minorHAnsi"/>
          <w:b/>
          <w:sz w:val="28"/>
          <w:szCs w:val="28"/>
        </w:rPr>
      </w:pPr>
    </w:p>
    <w:p w14:paraId="76140B09" w14:textId="79F8498F" w:rsidR="000149DE" w:rsidRDefault="000149DE" w:rsidP="000149DE">
      <w:pPr>
        <w:pStyle w:val="Default"/>
        <w:jc w:val="both"/>
        <w:rPr>
          <w:rFonts w:asciiTheme="minorHAnsi" w:hAnsiTheme="minorHAnsi" w:cstheme="minorHAnsi"/>
          <w:b/>
          <w:sz w:val="28"/>
          <w:szCs w:val="28"/>
        </w:rPr>
      </w:pPr>
    </w:p>
    <w:p w14:paraId="452AE55D" w14:textId="19AE08B7" w:rsidR="000149DE" w:rsidRDefault="000149DE" w:rsidP="000149DE">
      <w:pPr>
        <w:pStyle w:val="Default"/>
        <w:jc w:val="both"/>
        <w:rPr>
          <w:rFonts w:asciiTheme="minorHAnsi" w:hAnsiTheme="minorHAnsi" w:cstheme="minorHAnsi"/>
          <w:b/>
          <w:sz w:val="28"/>
          <w:szCs w:val="28"/>
        </w:rPr>
      </w:pPr>
    </w:p>
    <w:p w14:paraId="4491057C" w14:textId="77777777" w:rsidR="000149DE" w:rsidRPr="004F3A3C" w:rsidRDefault="000149DE" w:rsidP="000149DE">
      <w:pPr>
        <w:pStyle w:val="Default"/>
        <w:jc w:val="both"/>
        <w:rPr>
          <w:rFonts w:asciiTheme="minorHAnsi" w:hAnsiTheme="minorHAnsi" w:cstheme="minorHAnsi"/>
          <w:b/>
          <w:sz w:val="28"/>
          <w:szCs w:val="28"/>
        </w:rPr>
      </w:pPr>
    </w:p>
    <w:p w14:paraId="2BAD7932" w14:textId="6D9684F9" w:rsidR="00C22B29" w:rsidRPr="004F3A3C" w:rsidRDefault="005B40AF" w:rsidP="000149DE">
      <w:pPr>
        <w:pStyle w:val="Default"/>
        <w:jc w:val="both"/>
        <w:rPr>
          <w:rFonts w:asciiTheme="minorHAnsi" w:hAnsiTheme="minorHAnsi" w:cstheme="minorHAnsi"/>
          <w:b/>
          <w:sz w:val="28"/>
          <w:szCs w:val="28"/>
        </w:rPr>
      </w:pPr>
      <w:r>
        <w:rPr>
          <w:rFonts w:asciiTheme="minorHAnsi" w:hAnsiTheme="minorHAnsi" w:cstheme="minorHAnsi"/>
          <w:b/>
          <w:sz w:val="28"/>
          <w:szCs w:val="28"/>
        </w:rPr>
        <w:lastRenderedPageBreak/>
        <w:t>1</w:t>
      </w:r>
      <w:r w:rsidR="00CC525A">
        <w:rPr>
          <w:rFonts w:asciiTheme="minorHAnsi" w:hAnsiTheme="minorHAnsi" w:cstheme="minorHAnsi"/>
          <w:b/>
          <w:sz w:val="28"/>
          <w:szCs w:val="28"/>
        </w:rPr>
        <w:t>5</w:t>
      </w:r>
      <w:r>
        <w:rPr>
          <w:rFonts w:asciiTheme="minorHAnsi" w:hAnsiTheme="minorHAnsi" w:cstheme="minorHAnsi"/>
          <w:b/>
          <w:sz w:val="28"/>
          <w:szCs w:val="28"/>
        </w:rPr>
        <w:t xml:space="preserve">. </w:t>
      </w:r>
      <w:r w:rsidR="009019C0" w:rsidRPr="004F3A3C">
        <w:rPr>
          <w:rFonts w:asciiTheme="minorHAnsi" w:hAnsiTheme="minorHAnsi" w:cstheme="minorHAnsi"/>
          <w:b/>
          <w:sz w:val="28"/>
          <w:szCs w:val="28"/>
        </w:rPr>
        <w:t>VAT RECONCILIATION</w:t>
      </w:r>
    </w:p>
    <w:p w14:paraId="390F2E6F" w14:textId="77777777" w:rsidR="00A31E78" w:rsidRPr="004F3A3C" w:rsidRDefault="00A31E78" w:rsidP="000149DE">
      <w:pPr>
        <w:pStyle w:val="Default"/>
        <w:jc w:val="both"/>
        <w:rPr>
          <w:rFonts w:asciiTheme="minorHAnsi" w:hAnsiTheme="minorHAnsi" w:cstheme="minorHAnsi"/>
          <w:b/>
          <w:sz w:val="28"/>
          <w:szCs w:val="28"/>
        </w:rPr>
      </w:pPr>
    </w:p>
    <w:p w14:paraId="167525CE" w14:textId="77777777" w:rsidR="009019C0" w:rsidRPr="004F3A3C" w:rsidRDefault="00A31E78" w:rsidP="000149DE">
      <w:pPr>
        <w:pStyle w:val="Default"/>
        <w:jc w:val="both"/>
        <w:rPr>
          <w:rFonts w:asciiTheme="minorHAnsi" w:hAnsiTheme="minorHAnsi" w:cstheme="minorHAnsi"/>
          <w:sz w:val="28"/>
          <w:szCs w:val="28"/>
        </w:rPr>
      </w:pPr>
      <w:r w:rsidRPr="004F3A3C">
        <w:rPr>
          <w:rFonts w:asciiTheme="minorHAnsi" w:hAnsiTheme="minorHAnsi" w:cstheme="minorHAnsi"/>
          <w:sz w:val="28"/>
          <w:szCs w:val="28"/>
        </w:rPr>
        <w:t>VAT reconciliation must be performed on a monthly basis to reconcile VAT 201 and genera</w:t>
      </w:r>
      <w:r w:rsidR="00812861" w:rsidRPr="004F3A3C">
        <w:rPr>
          <w:rFonts w:asciiTheme="minorHAnsi" w:hAnsiTheme="minorHAnsi" w:cstheme="minorHAnsi"/>
          <w:sz w:val="28"/>
          <w:szCs w:val="28"/>
        </w:rPr>
        <w:t xml:space="preserve">l ledger, </w:t>
      </w:r>
      <w:r w:rsidRPr="004F3A3C">
        <w:rPr>
          <w:rFonts w:asciiTheme="minorHAnsi" w:hAnsiTheme="minorHAnsi" w:cstheme="minorHAnsi"/>
          <w:sz w:val="28"/>
          <w:szCs w:val="28"/>
        </w:rPr>
        <w:t>at year end all suspense</w:t>
      </w:r>
      <w:r w:rsidR="00812861" w:rsidRPr="004F3A3C">
        <w:rPr>
          <w:rFonts w:asciiTheme="minorHAnsi" w:hAnsiTheme="minorHAnsi" w:cstheme="minorHAnsi"/>
          <w:sz w:val="28"/>
          <w:szCs w:val="28"/>
        </w:rPr>
        <w:t xml:space="preserve"> account must be cleared. The balance of input tax and output tax must be carried forward to the VAT Control Account.</w:t>
      </w:r>
      <w:r w:rsidRPr="004F3A3C">
        <w:rPr>
          <w:rFonts w:asciiTheme="minorHAnsi" w:hAnsiTheme="minorHAnsi" w:cstheme="minorHAnsi"/>
          <w:sz w:val="28"/>
          <w:szCs w:val="28"/>
        </w:rPr>
        <w:t xml:space="preserve"> </w:t>
      </w:r>
    </w:p>
    <w:p w14:paraId="2737FC45" w14:textId="77777777" w:rsidR="009019C0" w:rsidRPr="004F3A3C" w:rsidRDefault="009019C0" w:rsidP="000149DE">
      <w:pPr>
        <w:pStyle w:val="Default"/>
        <w:jc w:val="both"/>
        <w:rPr>
          <w:rFonts w:asciiTheme="minorHAnsi" w:hAnsiTheme="minorHAnsi" w:cstheme="minorHAnsi"/>
          <w:b/>
          <w:sz w:val="28"/>
          <w:szCs w:val="28"/>
        </w:rPr>
      </w:pPr>
    </w:p>
    <w:p w14:paraId="29D5B1E5" w14:textId="1CF6EBC7" w:rsidR="008C783E" w:rsidRDefault="008C783E" w:rsidP="000149DE">
      <w:pPr>
        <w:pStyle w:val="Default"/>
        <w:jc w:val="both"/>
        <w:rPr>
          <w:rFonts w:asciiTheme="minorHAnsi" w:hAnsiTheme="minorHAnsi" w:cstheme="minorHAnsi"/>
          <w:sz w:val="28"/>
          <w:szCs w:val="28"/>
        </w:rPr>
      </w:pPr>
    </w:p>
    <w:p w14:paraId="47BFE059" w14:textId="77777777" w:rsidR="008D4A23" w:rsidRPr="004F3A3C" w:rsidRDefault="008D4A23" w:rsidP="000149DE">
      <w:pPr>
        <w:pStyle w:val="Default"/>
        <w:jc w:val="both"/>
        <w:rPr>
          <w:rFonts w:asciiTheme="minorHAnsi" w:hAnsiTheme="minorHAnsi" w:cstheme="minorHAnsi"/>
          <w:sz w:val="28"/>
          <w:szCs w:val="28"/>
        </w:rPr>
      </w:pPr>
    </w:p>
    <w:p w14:paraId="061654F8" w14:textId="1967EABB" w:rsidR="008C783E" w:rsidRPr="004F3A3C" w:rsidRDefault="005B40AF" w:rsidP="000149DE">
      <w:pPr>
        <w:autoSpaceDE w:val="0"/>
        <w:autoSpaceDN w:val="0"/>
        <w:adjustRightInd w:val="0"/>
        <w:spacing w:after="0" w:line="240" w:lineRule="auto"/>
        <w:jc w:val="both"/>
        <w:rPr>
          <w:rFonts w:cstheme="minorHAnsi"/>
          <w:b/>
          <w:bCs/>
          <w:color w:val="000000" w:themeColor="text1"/>
          <w:sz w:val="28"/>
          <w:szCs w:val="28"/>
        </w:rPr>
      </w:pPr>
      <w:r>
        <w:rPr>
          <w:rFonts w:cstheme="minorHAnsi"/>
          <w:b/>
          <w:bCs/>
          <w:color w:val="000000" w:themeColor="text1"/>
          <w:sz w:val="28"/>
          <w:szCs w:val="28"/>
        </w:rPr>
        <w:t>1</w:t>
      </w:r>
      <w:r w:rsidR="00CC525A">
        <w:rPr>
          <w:rFonts w:cstheme="minorHAnsi"/>
          <w:b/>
          <w:bCs/>
          <w:color w:val="000000" w:themeColor="text1"/>
          <w:sz w:val="28"/>
          <w:szCs w:val="28"/>
        </w:rPr>
        <w:t>5</w:t>
      </w:r>
      <w:r>
        <w:rPr>
          <w:rFonts w:cstheme="minorHAnsi"/>
          <w:b/>
          <w:bCs/>
          <w:color w:val="000000" w:themeColor="text1"/>
          <w:sz w:val="28"/>
          <w:szCs w:val="28"/>
        </w:rPr>
        <w:t xml:space="preserve">.1 </w:t>
      </w:r>
      <w:r w:rsidR="008C783E" w:rsidRPr="004F3A3C">
        <w:rPr>
          <w:rFonts w:cstheme="minorHAnsi"/>
          <w:b/>
          <w:bCs/>
          <w:color w:val="000000" w:themeColor="text1"/>
          <w:sz w:val="28"/>
          <w:szCs w:val="28"/>
        </w:rPr>
        <w:t>Value Added Tax Act No. 89 of 1991</w:t>
      </w:r>
    </w:p>
    <w:p w14:paraId="21C6591B" w14:textId="77777777" w:rsidR="008C783E" w:rsidRPr="004F3A3C" w:rsidRDefault="008C783E" w:rsidP="000149DE">
      <w:pPr>
        <w:autoSpaceDE w:val="0"/>
        <w:autoSpaceDN w:val="0"/>
        <w:adjustRightInd w:val="0"/>
        <w:spacing w:after="0" w:line="240" w:lineRule="auto"/>
        <w:jc w:val="both"/>
        <w:rPr>
          <w:rFonts w:cstheme="minorHAnsi"/>
          <w:b/>
          <w:bCs/>
          <w:color w:val="008181"/>
          <w:sz w:val="28"/>
          <w:szCs w:val="28"/>
        </w:rPr>
      </w:pPr>
    </w:p>
    <w:p w14:paraId="51551E53" w14:textId="77777777" w:rsidR="008C783E" w:rsidRPr="004F3A3C" w:rsidRDefault="008C783E" w:rsidP="000149DE">
      <w:pPr>
        <w:autoSpaceDE w:val="0"/>
        <w:autoSpaceDN w:val="0"/>
        <w:adjustRightInd w:val="0"/>
        <w:spacing w:after="0" w:line="240" w:lineRule="auto"/>
        <w:jc w:val="both"/>
        <w:rPr>
          <w:rFonts w:cstheme="minorHAnsi"/>
          <w:color w:val="000000"/>
          <w:sz w:val="28"/>
          <w:szCs w:val="28"/>
        </w:rPr>
      </w:pPr>
      <w:r w:rsidRPr="004F3A3C">
        <w:rPr>
          <w:rFonts w:cstheme="minorHAnsi"/>
          <w:color w:val="000000"/>
          <w:sz w:val="28"/>
          <w:szCs w:val="28"/>
        </w:rPr>
        <w:t>Section 55(1) (1) Every vendor shall keep such books of account (which books of account, where generated by means of a</w:t>
      </w:r>
      <w:r w:rsidR="005B40AF">
        <w:rPr>
          <w:rFonts w:cstheme="minorHAnsi"/>
          <w:color w:val="000000"/>
          <w:sz w:val="28"/>
          <w:szCs w:val="28"/>
        </w:rPr>
        <w:t xml:space="preserve"> </w:t>
      </w:r>
      <w:r w:rsidRPr="004F3A3C">
        <w:rPr>
          <w:rFonts w:cstheme="minorHAnsi"/>
          <w:color w:val="000000"/>
          <w:sz w:val="28"/>
          <w:szCs w:val="28"/>
        </w:rPr>
        <w:t>computer, shall be retained in the form of a computer print-out) or other records as may enable him to observe the</w:t>
      </w:r>
      <w:r w:rsidR="005B40AF">
        <w:rPr>
          <w:rFonts w:cstheme="minorHAnsi"/>
          <w:color w:val="000000"/>
          <w:sz w:val="28"/>
          <w:szCs w:val="28"/>
        </w:rPr>
        <w:t xml:space="preserve"> </w:t>
      </w:r>
      <w:r w:rsidRPr="004F3A3C">
        <w:rPr>
          <w:rFonts w:cstheme="minorHAnsi"/>
          <w:color w:val="000000"/>
          <w:sz w:val="28"/>
          <w:szCs w:val="28"/>
        </w:rPr>
        <w:t>requirements of this Act and enable the Commissioner to satisfy himself that the vendor has observed such requirements,</w:t>
      </w:r>
      <w:r w:rsidR="005B40AF">
        <w:rPr>
          <w:rFonts w:cstheme="minorHAnsi"/>
          <w:color w:val="000000"/>
          <w:sz w:val="28"/>
          <w:szCs w:val="28"/>
        </w:rPr>
        <w:t xml:space="preserve"> </w:t>
      </w:r>
      <w:r w:rsidRPr="004F3A3C">
        <w:rPr>
          <w:rFonts w:cstheme="minorHAnsi"/>
          <w:color w:val="000000"/>
          <w:sz w:val="28"/>
          <w:szCs w:val="28"/>
        </w:rPr>
        <w:t>and every vendor shall, in particular, keep the f</w:t>
      </w:r>
      <w:r w:rsidR="00812861" w:rsidRPr="004F3A3C">
        <w:rPr>
          <w:rFonts w:cstheme="minorHAnsi"/>
          <w:color w:val="000000"/>
          <w:sz w:val="28"/>
          <w:szCs w:val="28"/>
        </w:rPr>
        <w:t>ollowing records and documents-</w:t>
      </w:r>
      <w:r w:rsidRPr="004F3A3C">
        <w:rPr>
          <w:rFonts w:cstheme="minorHAnsi"/>
          <w:i/>
          <w:iCs/>
          <w:color w:val="000000"/>
          <w:sz w:val="28"/>
          <w:szCs w:val="28"/>
        </w:rPr>
        <w:t xml:space="preserve">(a) </w:t>
      </w:r>
      <w:r w:rsidRPr="004F3A3C">
        <w:rPr>
          <w:rFonts w:cstheme="minorHAnsi"/>
          <w:color w:val="000000"/>
          <w:sz w:val="28"/>
          <w:szCs w:val="28"/>
        </w:rPr>
        <w:t xml:space="preserve">a record of all goods and services supplied by or to the vendor showing the </w:t>
      </w:r>
      <w:r w:rsidR="00812861" w:rsidRPr="004F3A3C">
        <w:rPr>
          <w:rFonts w:cstheme="minorHAnsi"/>
          <w:color w:val="000000"/>
          <w:sz w:val="28"/>
          <w:szCs w:val="28"/>
        </w:rPr>
        <w:t xml:space="preserve">goods and services, the rate of </w:t>
      </w:r>
      <w:r w:rsidRPr="004F3A3C">
        <w:rPr>
          <w:rFonts w:cstheme="minorHAnsi"/>
          <w:color w:val="000000"/>
          <w:sz w:val="28"/>
          <w:szCs w:val="28"/>
        </w:rPr>
        <w:t>tax applicable to the supply and the suppliers or their agents, in sufficient</w:t>
      </w:r>
      <w:r w:rsidR="00812861" w:rsidRPr="004F3A3C">
        <w:rPr>
          <w:rFonts w:cstheme="minorHAnsi"/>
          <w:color w:val="000000"/>
          <w:sz w:val="28"/>
          <w:szCs w:val="28"/>
        </w:rPr>
        <w:t xml:space="preserve"> detail to enable the goods and </w:t>
      </w:r>
      <w:r w:rsidRPr="004F3A3C">
        <w:rPr>
          <w:rFonts w:cstheme="minorHAnsi"/>
          <w:color w:val="000000"/>
          <w:sz w:val="28"/>
          <w:szCs w:val="28"/>
        </w:rPr>
        <w:t>services, the rate of tax, the suppliers or the agents to be readily identified by the Commissioner, and all</w:t>
      </w:r>
    </w:p>
    <w:p w14:paraId="497934DD" w14:textId="77777777" w:rsidR="008C783E" w:rsidRDefault="008C783E" w:rsidP="000149DE">
      <w:pPr>
        <w:autoSpaceDE w:val="0"/>
        <w:autoSpaceDN w:val="0"/>
        <w:adjustRightInd w:val="0"/>
        <w:spacing w:after="0" w:line="240" w:lineRule="auto"/>
        <w:jc w:val="both"/>
        <w:rPr>
          <w:rFonts w:cstheme="minorHAnsi"/>
          <w:color w:val="000000"/>
          <w:sz w:val="28"/>
          <w:szCs w:val="28"/>
        </w:rPr>
      </w:pPr>
      <w:r w:rsidRPr="004F3A3C">
        <w:rPr>
          <w:rFonts w:cstheme="minorHAnsi"/>
          <w:color w:val="000000"/>
          <w:sz w:val="28"/>
          <w:szCs w:val="28"/>
        </w:rPr>
        <w:t>invoices, tax invoices, credit notes, debit notes, bank statements, depos</w:t>
      </w:r>
      <w:r w:rsidR="00812861" w:rsidRPr="004F3A3C">
        <w:rPr>
          <w:rFonts w:cstheme="minorHAnsi"/>
          <w:color w:val="000000"/>
          <w:sz w:val="28"/>
          <w:szCs w:val="28"/>
        </w:rPr>
        <w:t xml:space="preserve">it slips, stock lists and paid </w:t>
      </w:r>
      <w:r w:rsidRPr="004F3A3C">
        <w:rPr>
          <w:rFonts w:cstheme="minorHAnsi"/>
          <w:color w:val="000000"/>
          <w:sz w:val="28"/>
          <w:szCs w:val="28"/>
        </w:rPr>
        <w:t>cheques relating thereto: Provided that a vendor's records do not have to</w:t>
      </w:r>
      <w:r w:rsidR="00812861" w:rsidRPr="004F3A3C">
        <w:rPr>
          <w:rFonts w:cstheme="minorHAnsi"/>
          <w:color w:val="000000"/>
          <w:sz w:val="28"/>
          <w:szCs w:val="28"/>
        </w:rPr>
        <w:t xml:space="preserve"> show the rate of tax where the </w:t>
      </w:r>
      <w:r w:rsidRPr="004F3A3C">
        <w:rPr>
          <w:rFonts w:cstheme="minorHAnsi"/>
          <w:color w:val="000000"/>
          <w:sz w:val="28"/>
          <w:szCs w:val="28"/>
        </w:rPr>
        <w:t>vendor has been authorised by the Commissioner to calculate the tax payable by him in accordance with a</w:t>
      </w:r>
      <w:r w:rsidR="00812861" w:rsidRPr="004F3A3C">
        <w:rPr>
          <w:rFonts w:cstheme="minorHAnsi"/>
          <w:color w:val="000000"/>
          <w:sz w:val="28"/>
          <w:szCs w:val="28"/>
        </w:rPr>
        <w:t xml:space="preserve"> </w:t>
      </w:r>
      <w:r w:rsidRPr="004F3A3C">
        <w:rPr>
          <w:rFonts w:cstheme="minorHAnsi"/>
          <w:color w:val="000000"/>
          <w:sz w:val="28"/>
          <w:szCs w:val="28"/>
        </w:rPr>
        <w:t>method prescribed by regulation, as</w:t>
      </w:r>
      <w:r w:rsidR="00812861" w:rsidRPr="004F3A3C">
        <w:rPr>
          <w:rFonts w:cstheme="minorHAnsi"/>
          <w:color w:val="000000"/>
          <w:sz w:val="28"/>
          <w:szCs w:val="28"/>
        </w:rPr>
        <w:t xml:space="preserve"> contemplated in section 16 (1)</w:t>
      </w:r>
    </w:p>
    <w:p w14:paraId="0D07911F" w14:textId="77777777" w:rsidR="00B02F9B" w:rsidRDefault="00B02F9B" w:rsidP="000149DE">
      <w:pPr>
        <w:autoSpaceDE w:val="0"/>
        <w:autoSpaceDN w:val="0"/>
        <w:adjustRightInd w:val="0"/>
        <w:spacing w:after="0" w:line="240" w:lineRule="auto"/>
        <w:jc w:val="both"/>
        <w:rPr>
          <w:rFonts w:cstheme="minorHAnsi"/>
          <w:color w:val="000000"/>
          <w:sz w:val="28"/>
          <w:szCs w:val="28"/>
        </w:rPr>
      </w:pPr>
    </w:p>
    <w:p w14:paraId="04BA675E" w14:textId="77777777" w:rsidR="00B02F9B" w:rsidRDefault="00B02F9B" w:rsidP="000149DE">
      <w:pPr>
        <w:autoSpaceDE w:val="0"/>
        <w:autoSpaceDN w:val="0"/>
        <w:adjustRightInd w:val="0"/>
        <w:spacing w:after="0" w:line="240" w:lineRule="auto"/>
        <w:jc w:val="both"/>
        <w:rPr>
          <w:rFonts w:cstheme="minorHAnsi"/>
          <w:color w:val="000000"/>
          <w:sz w:val="28"/>
          <w:szCs w:val="28"/>
        </w:rPr>
      </w:pPr>
    </w:p>
    <w:p w14:paraId="1D5A95EF" w14:textId="77777777" w:rsidR="00B02F9B" w:rsidRDefault="00B02F9B" w:rsidP="000149DE">
      <w:pPr>
        <w:autoSpaceDE w:val="0"/>
        <w:autoSpaceDN w:val="0"/>
        <w:adjustRightInd w:val="0"/>
        <w:spacing w:after="0" w:line="240" w:lineRule="auto"/>
        <w:jc w:val="both"/>
        <w:rPr>
          <w:rFonts w:cstheme="minorHAnsi"/>
          <w:color w:val="000000"/>
          <w:sz w:val="28"/>
          <w:szCs w:val="28"/>
        </w:rPr>
      </w:pPr>
    </w:p>
    <w:p w14:paraId="51F626A0" w14:textId="12B8B15A" w:rsidR="00B02F9B" w:rsidRPr="00B02F9B" w:rsidRDefault="00B02F9B" w:rsidP="00B02F9B">
      <w:pPr>
        <w:pStyle w:val="ListParagraph"/>
        <w:keepNext/>
        <w:keepLines/>
        <w:numPr>
          <w:ilvl w:val="1"/>
          <w:numId w:val="23"/>
        </w:numPr>
        <w:tabs>
          <w:tab w:val="center" w:pos="1834"/>
        </w:tabs>
        <w:spacing w:after="244" w:line="259" w:lineRule="auto"/>
        <w:outlineLvl w:val="1"/>
        <w:rPr>
          <w:rFonts w:ascii="Arial" w:eastAsia="Arial" w:hAnsi="Arial" w:cs="Arial"/>
          <w:b/>
          <w:color w:val="000000"/>
          <w:sz w:val="24"/>
          <w:lang w:eastAsia="en-ZA"/>
        </w:rPr>
      </w:pPr>
      <w:r>
        <w:rPr>
          <w:rFonts w:ascii="Arial" w:eastAsia="Arial" w:hAnsi="Arial" w:cs="Arial"/>
          <w:b/>
          <w:color w:val="000000"/>
          <w:sz w:val="24"/>
          <w:lang w:eastAsia="en-ZA"/>
        </w:rPr>
        <w:t xml:space="preserve"> </w:t>
      </w:r>
      <w:r w:rsidRPr="00B02F9B">
        <w:rPr>
          <w:rFonts w:ascii="Arial" w:eastAsia="Arial" w:hAnsi="Arial" w:cs="Arial"/>
          <w:b/>
          <w:color w:val="000000"/>
          <w:sz w:val="24"/>
          <w:lang w:eastAsia="en-ZA"/>
        </w:rPr>
        <w:t xml:space="preserve">POLICY ADOPTION </w:t>
      </w:r>
    </w:p>
    <w:p w14:paraId="495BAB05" w14:textId="6B34A63C" w:rsidR="00B02F9B" w:rsidRPr="004F3A3C" w:rsidRDefault="00B02F9B" w:rsidP="00B02F9B">
      <w:pPr>
        <w:autoSpaceDE w:val="0"/>
        <w:autoSpaceDN w:val="0"/>
        <w:adjustRightInd w:val="0"/>
        <w:spacing w:after="0" w:line="240" w:lineRule="auto"/>
        <w:jc w:val="both"/>
        <w:rPr>
          <w:rFonts w:cstheme="minorHAnsi"/>
          <w:color w:val="000000"/>
          <w:sz w:val="28"/>
          <w:szCs w:val="28"/>
        </w:rPr>
      </w:pPr>
      <w:r w:rsidRPr="00B02F9B">
        <w:rPr>
          <w:rFonts w:ascii="Tahoma" w:hAnsi="Tahoma" w:cs="Tahoma"/>
          <w:sz w:val="24"/>
          <w:szCs w:val="24"/>
        </w:rPr>
        <w:t xml:space="preserve">This policy has been considered and approved by the Council of </w:t>
      </w:r>
      <w:proofErr w:type="spellStart"/>
      <w:r w:rsidRPr="00B02F9B">
        <w:rPr>
          <w:rFonts w:ascii="Tahoma" w:hAnsi="Tahoma" w:cs="Tahoma"/>
          <w:b/>
          <w:sz w:val="24"/>
          <w:szCs w:val="24"/>
        </w:rPr>
        <w:t>Dannhauser</w:t>
      </w:r>
      <w:proofErr w:type="spellEnd"/>
      <w:r w:rsidRPr="00B02F9B">
        <w:rPr>
          <w:rFonts w:ascii="Tahoma" w:hAnsi="Tahoma" w:cs="Tahoma"/>
          <w:b/>
          <w:sz w:val="24"/>
          <w:szCs w:val="24"/>
        </w:rPr>
        <w:t xml:space="preserve"> Municipality</w:t>
      </w:r>
      <w:r w:rsidRPr="00B02F9B">
        <w:rPr>
          <w:rFonts w:ascii="Tahoma" w:hAnsi="Tahoma" w:cs="Tahoma"/>
          <w:sz w:val="24"/>
          <w:szCs w:val="24"/>
        </w:rPr>
        <w:t xml:space="preserve"> on this day……… of …… 2024 and will be implemented as from 1 July 2024</w:t>
      </w:r>
    </w:p>
    <w:sectPr w:rsidR="00B02F9B" w:rsidRPr="004F3A3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8FE7A" w14:textId="77777777" w:rsidR="0023798B" w:rsidRDefault="0023798B" w:rsidP="009E3D81">
      <w:pPr>
        <w:spacing w:after="0" w:line="240" w:lineRule="auto"/>
      </w:pPr>
      <w:r>
        <w:separator/>
      </w:r>
    </w:p>
  </w:endnote>
  <w:endnote w:type="continuationSeparator" w:id="0">
    <w:p w14:paraId="741EB11D" w14:textId="77777777" w:rsidR="0023798B" w:rsidRDefault="0023798B" w:rsidP="009E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94620"/>
      <w:docPartObj>
        <w:docPartGallery w:val="Page Numbers (Bottom of Page)"/>
        <w:docPartUnique/>
      </w:docPartObj>
    </w:sdtPr>
    <w:sdtEndPr>
      <w:rPr>
        <w:color w:val="7F7F7F" w:themeColor="background1" w:themeShade="7F"/>
        <w:spacing w:val="60"/>
      </w:rPr>
    </w:sdtEndPr>
    <w:sdtContent>
      <w:p w14:paraId="33DEBEF8" w14:textId="77777777" w:rsidR="009E3D81" w:rsidRDefault="009E3D8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73FBB" w:rsidRPr="00F73FBB">
          <w:rPr>
            <w:b/>
            <w:bCs/>
            <w:noProof/>
          </w:rPr>
          <w:t>1</w:t>
        </w:r>
        <w:r>
          <w:rPr>
            <w:b/>
            <w:bCs/>
            <w:noProof/>
          </w:rPr>
          <w:fldChar w:fldCharType="end"/>
        </w:r>
        <w:r>
          <w:rPr>
            <w:b/>
            <w:bCs/>
          </w:rPr>
          <w:t xml:space="preserve"> | </w:t>
        </w:r>
        <w:r>
          <w:rPr>
            <w:color w:val="7F7F7F" w:themeColor="background1" w:themeShade="7F"/>
            <w:spacing w:val="60"/>
          </w:rPr>
          <w:t>Page</w:t>
        </w:r>
      </w:p>
    </w:sdtContent>
  </w:sdt>
  <w:p w14:paraId="03510D3C" w14:textId="77777777" w:rsidR="009E3D81" w:rsidRDefault="009E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AFB6C" w14:textId="77777777" w:rsidR="0023798B" w:rsidRDefault="0023798B" w:rsidP="009E3D81">
      <w:pPr>
        <w:spacing w:after="0" w:line="240" w:lineRule="auto"/>
      </w:pPr>
      <w:r>
        <w:separator/>
      </w:r>
    </w:p>
  </w:footnote>
  <w:footnote w:type="continuationSeparator" w:id="0">
    <w:p w14:paraId="36CFC869" w14:textId="77777777" w:rsidR="0023798B" w:rsidRDefault="0023798B" w:rsidP="009E3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CBC"/>
    <w:multiLevelType w:val="hybridMultilevel"/>
    <w:tmpl w:val="EB6C35F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0E2B10"/>
    <w:multiLevelType w:val="hybridMultilevel"/>
    <w:tmpl w:val="7CF2E210"/>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583CC2"/>
    <w:multiLevelType w:val="hybridMultilevel"/>
    <w:tmpl w:val="0BC628A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3B7C49"/>
    <w:multiLevelType w:val="hybridMultilevel"/>
    <w:tmpl w:val="BE4E4354"/>
    <w:lvl w:ilvl="0" w:tplc="3A32F324">
      <w:start w:val="1"/>
      <w:numFmt w:val="bullet"/>
      <w:lvlText w:val="•"/>
      <w:lvlJc w:val="left"/>
      <w:pPr>
        <w:tabs>
          <w:tab w:val="num" w:pos="720"/>
        </w:tabs>
        <w:ind w:left="720" w:hanging="360"/>
      </w:pPr>
      <w:rPr>
        <w:rFonts w:ascii="Times New Roman" w:hAnsi="Times New Roman" w:hint="default"/>
      </w:rPr>
    </w:lvl>
    <w:lvl w:ilvl="1" w:tplc="36B6349E" w:tentative="1">
      <w:start w:val="1"/>
      <w:numFmt w:val="bullet"/>
      <w:lvlText w:val="•"/>
      <w:lvlJc w:val="left"/>
      <w:pPr>
        <w:tabs>
          <w:tab w:val="num" w:pos="1440"/>
        </w:tabs>
        <w:ind w:left="1440" w:hanging="360"/>
      </w:pPr>
      <w:rPr>
        <w:rFonts w:ascii="Times New Roman" w:hAnsi="Times New Roman" w:hint="default"/>
      </w:rPr>
    </w:lvl>
    <w:lvl w:ilvl="2" w:tplc="1DC6BA58" w:tentative="1">
      <w:start w:val="1"/>
      <w:numFmt w:val="bullet"/>
      <w:lvlText w:val="•"/>
      <w:lvlJc w:val="left"/>
      <w:pPr>
        <w:tabs>
          <w:tab w:val="num" w:pos="2160"/>
        </w:tabs>
        <w:ind w:left="2160" w:hanging="360"/>
      </w:pPr>
      <w:rPr>
        <w:rFonts w:ascii="Times New Roman" w:hAnsi="Times New Roman" w:hint="default"/>
      </w:rPr>
    </w:lvl>
    <w:lvl w:ilvl="3" w:tplc="347871BA" w:tentative="1">
      <w:start w:val="1"/>
      <w:numFmt w:val="bullet"/>
      <w:lvlText w:val="•"/>
      <w:lvlJc w:val="left"/>
      <w:pPr>
        <w:tabs>
          <w:tab w:val="num" w:pos="2880"/>
        </w:tabs>
        <w:ind w:left="2880" w:hanging="360"/>
      </w:pPr>
      <w:rPr>
        <w:rFonts w:ascii="Times New Roman" w:hAnsi="Times New Roman" w:hint="default"/>
      </w:rPr>
    </w:lvl>
    <w:lvl w:ilvl="4" w:tplc="5C082936" w:tentative="1">
      <w:start w:val="1"/>
      <w:numFmt w:val="bullet"/>
      <w:lvlText w:val="•"/>
      <w:lvlJc w:val="left"/>
      <w:pPr>
        <w:tabs>
          <w:tab w:val="num" w:pos="3600"/>
        </w:tabs>
        <w:ind w:left="3600" w:hanging="360"/>
      </w:pPr>
      <w:rPr>
        <w:rFonts w:ascii="Times New Roman" w:hAnsi="Times New Roman" w:hint="default"/>
      </w:rPr>
    </w:lvl>
    <w:lvl w:ilvl="5" w:tplc="86084D90" w:tentative="1">
      <w:start w:val="1"/>
      <w:numFmt w:val="bullet"/>
      <w:lvlText w:val="•"/>
      <w:lvlJc w:val="left"/>
      <w:pPr>
        <w:tabs>
          <w:tab w:val="num" w:pos="4320"/>
        </w:tabs>
        <w:ind w:left="4320" w:hanging="360"/>
      </w:pPr>
      <w:rPr>
        <w:rFonts w:ascii="Times New Roman" w:hAnsi="Times New Roman" w:hint="default"/>
      </w:rPr>
    </w:lvl>
    <w:lvl w:ilvl="6" w:tplc="FCAE3150" w:tentative="1">
      <w:start w:val="1"/>
      <w:numFmt w:val="bullet"/>
      <w:lvlText w:val="•"/>
      <w:lvlJc w:val="left"/>
      <w:pPr>
        <w:tabs>
          <w:tab w:val="num" w:pos="5040"/>
        </w:tabs>
        <w:ind w:left="5040" w:hanging="360"/>
      </w:pPr>
      <w:rPr>
        <w:rFonts w:ascii="Times New Roman" w:hAnsi="Times New Roman" w:hint="default"/>
      </w:rPr>
    </w:lvl>
    <w:lvl w:ilvl="7" w:tplc="56486CAC" w:tentative="1">
      <w:start w:val="1"/>
      <w:numFmt w:val="bullet"/>
      <w:lvlText w:val="•"/>
      <w:lvlJc w:val="left"/>
      <w:pPr>
        <w:tabs>
          <w:tab w:val="num" w:pos="5760"/>
        </w:tabs>
        <w:ind w:left="5760" w:hanging="360"/>
      </w:pPr>
      <w:rPr>
        <w:rFonts w:ascii="Times New Roman" w:hAnsi="Times New Roman" w:hint="default"/>
      </w:rPr>
    </w:lvl>
    <w:lvl w:ilvl="8" w:tplc="6C2AF23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3556B8"/>
    <w:multiLevelType w:val="hybridMultilevel"/>
    <w:tmpl w:val="B2AAC604"/>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720DE6"/>
    <w:multiLevelType w:val="hybridMultilevel"/>
    <w:tmpl w:val="D0DAB772"/>
    <w:lvl w:ilvl="0" w:tplc="9AC4C0B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A5531F"/>
    <w:multiLevelType w:val="hybridMultilevel"/>
    <w:tmpl w:val="FA2640CA"/>
    <w:lvl w:ilvl="0" w:tplc="257E9A82">
      <w:start w:val="3"/>
      <w:numFmt w:val="decimal"/>
      <w:lvlText w:val="%1."/>
      <w:lvlJc w:val="left"/>
      <w:pPr>
        <w:ind w:left="612" w:hanging="360"/>
      </w:pPr>
      <w:rPr>
        <w:rFonts w:eastAsia="Times New Roman" w:hint="default"/>
      </w:rPr>
    </w:lvl>
    <w:lvl w:ilvl="1" w:tplc="1C090019">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7" w15:restartNumberingAfterBreak="0">
    <w:nsid w:val="1AC0668F"/>
    <w:multiLevelType w:val="multilevel"/>
    <w:tmpl w:val="B11894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963221"/>
    <w:multiLevelType w:val="multilevel"/>
    <w:tmpl w:val="95D8246E"/>
    <w:lvl w:ilvl="0">
      <w:start w:val="15"/>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764BC"/>
    <w:multiLevelType w:val="hybridMultilevel"/>
    <w:tmpl w:val="BB46F5EC"/>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3647A9E"/>
    <w:multiLevelType w:val="hybridMultilevel"/>
    <w:tmpl w:val="89808E4E"/>
    <w:lvl w:ilvl="0" w:tplc="04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1" w15:restartNumberingAfterBreak="0">
    <w:nsid w:val="237573FF"/>
    <w:multiLevelType w:val="hybridMultilevel"/>
    <w:tmpl w:val="1B7226E2"/>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FA912DA"/>
    <w:multiLevelType w:val="hybridMultilevel"/>
    <w:tmpl w:val="A39E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B3E84"/>
    <w:multiLevelType w:val="hybridMultilevel"/>
    <w:tmpl w:val="56067F5A"/>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3BC56C8"/>
    <w:multiLevelType w:val="hybridMultilevel"/>
    <w:tmpl w:val="3912D1D6"/>
    <w:lvl w:ilvl="0" w:tplc="FA58903E">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1442D5"/>
    <w:multiLevelType w:val="hybridMultilevel"/>
    <w:tmpl w:val="F8BC105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6433344"/>
    <w:multiLevelType w:val="hybridMultilevel"/>
    <w:tmpl w:val="0428CDFA"/>
    <w:lvl w:ilvl="0" w:tplc="9FDA1666">
      <w:start w:val="1"/>
      <w:numFmt w:val="bullet"/>
      <w:lvlText w:val="•"/>
      <w:lvlJc w:val="left"/>
      <w:pPr>
        <w:tabs>
          <w:tab w:val="num" w:pos="720"/>
        </w:tabs>
        <w:ind w:left="720" w:hanging="360"/>
      </w:pPr>
      <w:rPr>
        <w:rFonts w:ascii="Times New Roman" w:hAnsi="Times New Roman" w:hint="default"/>
      </w:rPr>
    </w:lvl>
    <w:lvl w:ilvl="1" w:tplc="A596DE54" w:tentative="1">
      <w:start w:val="1"/>
      <w:numFmt w:val="bullet"/>
      <w:lvlText w:val="•"/>
      <w:lvlJc w:val="left"/>
      <w:pPr>
        <w:tabs>
          <w:tab w:val="num" w:pos="1440"/>
        </w:tabs>
        <w:ind w:left="1440" w:hanging="360"/>
      </w:pPr>
      <w:rPr>
        <w:rFonts w:ascii="Times New Roman" w:hAnsi="Times New Roman" w:hint="default"/>
      </w:rPr>
    </w:lvl>
    <w:lvl w:ilvl="2" w:tplc="C6AE774E" w:tentative="1">
      <w:start w:val="1"/>
      <w:numFmt w:val="bullet"/>
      <w:lvlText w:val="•"/>
      <w:lvlJc w:val="left"/>
      <w:pPr>
        <w:tabs>
          <w:tab w:val="num" w:pos="2160"/>
        </w:tabs>
        <w:ind w:left="2160" w:hanging="360"/>
      </w:pPr>
      <w:rPr>
        <w:rFonts w:ascii="Times New Roman" w:hAnsi="Times New Roman" w:hint="default"/>
      </w:rPr>
    </w:lvl>
    <w:lvl w:ilvl="3" w:tplc="7500E58A" w:tentative="1">
      <w:start w:val="1"/>
      <w:numFmt w:val="bullet"/>
      <w:lvlText w:val="•"/>
      <w:lvlJc w:val="left"/>
      <w:pPr>
        <w:tabs>
          <w:tab w:val="num" w:pos="2880"/>
        </w:tabs>
        <w:ind w:left="2880" w:hanging="360"/>
      </w:pPr>
      <w:rPr>
        <w:rFonts w:ascii="Times New Roman" w:hAnsi="Times New Roman" w:hint="default"/>
      </w:rPr>
    </w:lvl>
    <w:lvl w:ilvl="4" w:tplc="84425E90" w:tentative="1">
      <w:start w:val="1"/>
      <w:numFmt w:val="bullet"/>
      <w:lvlText w:val="•"/>
      <w:lvlJc w:val="left"/>
      <w:pPr>
        <w:tabs>
          <w:tab w:val="num" w:pos="3600"/>
        </w:tabs>
        <w:ind w:left="3600" w:hanging="360"/>
      </w:pPr>
      <w:rPr>
        <w:rFonts w:ascii="Times New Roman" w:hAnsi="Times New Roman" w:hint="default"/>
      </w:rPr>
    </w:lvl>
    <w:lvl w:ilvl="5" w:tplc="1B363EF6" w:tentative="1">
      <w:start w:val="1"/>
      <w:numFmt w:val="bullet"/>
      <w:lvlText w:val="•"/>
      <w:lvlJc w:val="left"/>
      <w:pPr>
        <w:tabs>
          <w:tab w:val="num" w:pos="4320"/>
        </w:tabs>
        <w:ind w:left="4320" w:hanging="360"/>
      </w:pPr>
      <w:rPr>
        <w:rFonts w:ascii="Times New Roman" w:hAnsi="Times New Roman" w:hint="default"/>
      </w:rPr>
    </w:lvl>
    <w:lvl w:ilvl="6" w:tplc="BD2605B8" w:tentative="1">
      <w:start w:val="1"/>
      <w:numFmt w:val="bullet"/>
      <w:lvlText w:val="•"/>
      <w:lvlJc w:val="left"/>
      <w:pPr>
        <w:tabs>
          <w:tab w:val="num" w:pos="5040"/>
        </w:tabs>
        <w:ind w:left="5040" w:hanging="360"/>
      </w:pPr>
      <w:rPr>
        <w:rFonts w:ascii="Times New Roman" w:hAnsi="Times New Roman" w:hint="default"/>
      </w:rPr>
    </w:lvl>
    <w:lvl w:ilvl="7" w:tplc="D2AA807C" w:tentative="1">
      <w:start w:val="1"/>
      <w:numFmt w:val="bullet"/>
      <w:lvlText w:val="•"/>
      <w:lvlJc w:val="left"/>
      <w:pPr>
        <w:tabs>
          <w:tab w:val="num" w:pos="5760"/>
        </w:tabs>
        <w:ind w:left="5760" w:hanging="360"/>
      </w:pPr>
      <w:rPr>
        <w:rFonts w:ascii="Times New Roman" w:hAnsi="Times New Roman" w:hint="default"/>
      </w:rPr>
    </w:lvl>
    <w:lvl w:ilvl="8" w:tplc="969673F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4370053"/>
    <w:multiLevelType w:val="hybridMultilevel"/>
    <w:tmpl w:val="4A726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B237AA6"/>
    <w:multiLevelType w:val="hybridMultilevel"/>
    <w:tmpl w:val="3A7AB506"/>
    <w:lvl w:ilvl="0" w:tplc="1C09000F">
      <w:start w:val="5"/>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705E1190"/>
    <w:multiLevelType w:val="hybridMultilevel"/>
    <w:tmpl w:val="60AC1420"/>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24D3D57"/>
    <w:multiLevelType w:val="hybridMultilevel"/>
    <w:tmpl w:val="0B10B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45174"/>
    <w:multiLevelType w:val="hybridMultilevel"/>
    <w:tmpl w:val="2618EB22"/>
    <w:lvl w:ilvl="0" w:tplc="04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9405019"/>
    <w:multiLevelType w:val="hybridMultilevel"/>
    <w:tmpl w:val="4EFA540E"/>
    <w:lvl w:ilvl="0" w:tplc="FF9E0ED2">
      <w:start w:val="1"/>
      <w:numFmt w:val="bullet"/>
      <w:lvlText w:val="•"/>
      <w:lvlJc w:val="left"/>
      <w:pPr>
        <w:tabs>
          <w:tab w:val="num" w:pos="720"/>
        </w:tabs>
        <w:ind w:left="720" w:hanging="360"/>
      </w:pPr>
      <w:rPr>
        <w:rFonts w:ascii="Times New Roman" w:hAnsi="Times New Roman" w:hint="default"/>
      </w:rPr>
    </w:lvl>
    <w:lvl w:ilvl="1" w:tplc="EF6A421E" w:tentative="1">
      <w:start w:val="1"/>
      <w:numFmt w:val="bullet"/>
      <w:lvlText w:val="•"/>
      <w:lvlJc w:val="left"/>
      <w:pPr>
        <w:tabs>
          <w:tab w:val="num" w:pos="1440"/>
        </w:tabs>
        <w:ind w:left="1440" w:hanging="360"/>
      </w:pPr>
      <w:rPr>
        <w:rFonts w:ascii="Times New Roman" w:hAnsi="Times New Roman" w:hint="default"/>
      </w:rPr>
    </w:lvl>
    <w:lvl w:ilvl="2" w:tplc="04326B72" w:tentative="1">
      <w:start w:val="1"/>
      <w:numFmt w:val="bullet"/>
      <w:lvlText w:val="•"/>
      <w:lvlJc w:val="left"/>
      <w:pPr>
        <w:tabs>
          <w:tab w:val="num" w:pos="2160"/>
        </w:tabs>
        <w:ind w:left="2160" w:hanging="360"/>
      </w:pPr>
      <w:rPr>
        <w:rFonts w:ascii="Times New Roman" w:hAnsi="Times New Roman" w:hint="default"/>
      </w:rPr>
    </w:lvl>
    <w:lvl w:ilvl="3" w:tplc="80A26D7A" w:tentative="1">
      <w:start w:val="1"/>
      <w:numFmt w:val="bullet"/>
      <w:lvlText w:val="•"/>
      <w:lvlJc w:val="left"/>
      <w:pPr>
        <w:tabs>
          <w:tab w:val="num" w:pos="2880"/>
        </w:tabs>
        <w:ind w:left="2880" w:hanging="360"/>
      </w:pPr>
      <w:rPr>
        <w:rFonts w:ascii="Times New Roman" w:hAnsi="Times New Roman" w:hint="default"/>
      </w:rPr>
    </w:lvl>
    <w:lvl w:ilvl="4" w:tplc="793C6E16" w:tentative="1">
      <w:start w:val="1"/>
      <w:numFmt w:val="bullet"/>
      <w:lvlText w:val="•"/>
      <w:lvlJc w:val="left"/>
      <w:pPr>
        <w:tabs>
          <w:tab w:val="num" w:pos="3600"/>
        </w:tabs>
        <w:ind w:left="3600" w:hanging="360"/>
      </w:pPr>
      <w:rPr>
        <w:rFonts w:ascii="Times New Roman" w:hAnsi="Times New Roman" w:hint="default"/>
      </w:rPr>
    </w:lvl>
    <w:lvl w:ilvl="5" w:tplc="D5B037B2" w:tentative="1">
      <w:start w:val="1"/>
      <w:numFmt w:val="bullet"/>
      <w:lvlText w:val="•"/>
      <w:lvlJc w:val="left"/>
      <w:pPr>
        <w:tabs>
          <w:tab w:val="num" w:pos="4320"/>
        </w:tabs>
        <w:ind w:left="4320" w:hanging="360"/>
      </w:pPr>
      <w:rPr>
        <w:rFonts w:ascii="Times New Roman" w:hAnsi="Times New Roman" w:hint="default"/>
      </w:rPr>
    </w:lvl>
    <w:lvl w:ilvl="6" w:tplc="32E0338C" w:tentative="1">
      <w:start w:val="1"/>
      <w:numFmt w:val="bullet"/>
      <w:lvlText w:val="•"/>
      <w:lvlJc w:val="left"/>
      <w:pPr>
        <w:tabs>
          <w:tab w:val="num" w:pos="5040"/>
        </w:tabs>
        <w:ind w:left="5040" w:hanging="360"/>
      </w:pPr>
      <w:rPr>
        <w:rFonts w:ascii="Times New Roman" w:hAnsi="Times New Roman" w:hint="default"/>
      </w:rPr>
    </w:lvl>
    <w:lvl w:ilvl="7" w:tplc="0EECD332" w:tentative="1">
      <w:start w:val="1"/>
      <w:numFmt w:val="bullet"/>
      <w:lvlText w:val="•"/>
      <w:lvlJc w:val="left"/>
      <w:pPr>
        <w:tabs>
          <w:tab w:val="num" w:pos="5760"/>
        </w:tabs>
        <w:ind w:left="5760" w:hanging="360"/>
      </w:pPr>
      <w:rPr>
        <w:rFonts w:ascii="Times New Roman" w:hAnsi="Times New Roman" w:hint="default"/>
      </w:rPr>
    </w:lvl>
    <w:lvl w:ilvl="8" w:tplc="C504BBD2" w:tentative="1">
      <w:start w:val="1"/>
      <w:numFmt w:val="bullet"/>
      <w:lvlText w:val="•"/>
      <w:lvlJc w:val="left"/>
      <w:pPr>
        <w:tabs>
          <w:tab w:val="num" w:pos="6480"/>
        </w:tabs>
        <w:ind w:left="6480" w:hanging="360"/>
      </w:pPr>
      <w:rPr>
        <w:rFonts w:ascii="Times New Roman" w:hAnsi="Times New Roman" w:hint="default"/>
      </w:rPr>
    </w:lvl>
  </w:abstractNum>
  <w:num w:numId="1" w16cid:durableId="487013110">
    <w:abstractNumId w:val="17"/>
  </w:num>
  <w:num w:numId="2" w16cid:durableId="1699895039">
    <w:abstractNumId w:val="5"/>
  </w:num>
  <w:num w:numId="3" w16cid:durableId="1963535938">
    <w:abstractNumId w:val="0"/>
  </w:num>
  <w:num w:numId="4" w16cid:durableId="1940946229">
    <w:abstractNumId w:val="3"/>
  </w:num>
  <w:num w:numId="5" w16cid:durableId="1355299964">
    <w:abstractNumId w:val="16"/>
  </w:num>
  <w:num w:numId="6" w16cid:durableId="1044720945">
    <w:abstractNumId w:val="22"/>
  </w:num>
  <w:num w:numId="7" w16cid:durableId="1200362789">
    <w:abstractNumId w:val="12"/>
  </w:num>
  <w:num w:numId="8" w16cid:durableId="1635717688">
    <w:abstractNumId w:val="14"/>
  </w:num>
  <w:num w:numId="9" w16cid:durableId="631591985">
    <w:abstractNumId w:val="20"/>
  </w:num>
  <w:num w:numId="10" w16cid:durableId="511917249">
    <w:abstractNumId w:val="21"/>
  </w:num>
  <w:num w:numId="11" w16cid:durableId="237129137">
    <w:abstractNumId w:val="9"/>
  </w:num>
  <w:num w:numId="12" w16cid:durableId="823473913">
    <w:abstractNumId w:val="10"/>
  </w:num>
  <w:num w:numId="13" w16cid:durableId="871457664">
    <w:abstractNumId w:val="1"/>
  </w:num>
  <w:num w:numId="14" w16cid:durableId="843936137">
    <w:abstractNumId w:val="13"/>
  </w:num>
  <w:num w:numId="15" w16cid:durableId="810369527">
    <w:abstractNumId w:val="4"/>
  </w:num>
  <w:num w:numId="16" w16cid:durableId="1177571818">
    <w:abstractNumId w:val="19"/>
  </w:num>
  <w:num w:numId="17" w16cid:durableId="1086849334">
    <w:abstractNumId w:val="6"/>
  </w:num>
  <w:num w:numId="18" w16cid:durableId="21634169">
    <w:abstractNumId w:val="11"/>
  </w:num>
  <w:num w:numId="19" w16cid:durableId="1703550073">
    <w:abstractNumId w:val="15"/>
  </w:num>
  <w:num w:numId="20" w16cid:durableId="1408070943">
    <w:abstractNumId w:val="2"/>
  </w:num>
  <w:num w:numId="21" w16cid:durableId="542134808">
    <w:abstractNumId w:val="18"/>
  </w:num>
  <w:num w:numId="22" w16cid:durableId="286934534">
    <w:abstractNumId w:val="7"/>
  </w:num>
  <w:num w:numId="23" w16cid:durableId="191503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A3"/>
    <w:rsid w:val="000149DE"/>
    <w:rsid w:val="0006012E"/>
    <w:rsid w:val="00091ADF"/>
    <w:rsid w:val="000930CE"/>
    <w:rsid w:val="00093562"/>
    <w:rsid w:val="000B09E7"/>
    <w:rsid w:val="000B0EEE"/>
    <w:rsid w:val="00100182"/>
    <w:rsid w:val="00110A9F"/>
    <w:rsid w:val="001159C6"/>
    <w:rsid w:val="0015321F"/>
    <w:rsid w:val="00154038"/>
    <w:rsid w:val="001715AB"/>
    <w:rsid w:val="001B3B57"/>
    <w:rsid w:val="001D2DB9"/>
    <w:rsid w:val="0023798B"/>
    <w:rsid w:val="00240CC8"/>
    <w:rsid w:val="00242B50"/>
    <w:rsid w:val="00246104"/>
    <w:rsid w:val="0025259B"/>
    <w:rsid w:val="0025579A"/>
    <w:rsid w:val="00282E97"/>
    <w:rsid w:val="002C568B"/>
    <w:rsid w:val="00306E1B"/>
    <w:rsid w:val="00326347"/>
    <w:rsid w:val="00334B6B"/>
    <w:rsid w:val="003551E4"/>
    <w:rsid w:val="00364833"/>
    <w:rsid w:val="0037649A"/>
    <w:rsid w:val="003839BE"/>
    <w:rsid w:val="003A7E16"/>
    <w:rsid w:val="003C128A"/>
    <w:rsid w:val="003E473B"/>
    <w:rsid w:val="004031FB"/>
    <w:rsid w:val="004102D9"/>
    <w:rsid w:val="004331BD"/>
    <w:rsid w:val="004525BE"/>
    <w:rsid w:val="00466932"/>
    <w:rsid w:val="0047284B"/>
    <w:rsid w:val="0049471E"/>
    <w:rsid w:val="004953BD"/>
    <w:rsid w:val="00496939"/>
    <w:rsid w:val="004B7C3E"/>
    <w:rsid w:val="004C5040"/>
    <w:rsid w:val="004C5289"/>
    <w:rsid w:val="004E0643"/>
    <w:rsid w:val="004E0BAB"/>
    <w:rsid w:val="004E3373"/>
    <w:rsid w:val="004F12FF"/>
    <w:rsid w:val="004F3A3C"/>
    <w:rsid w:val="00525213"/>
    <w:rsid w:val="00525F3F"/>
    <w:rsid w:val="0053048F"/>
    <w:rsid w:val="0054084D"/>
    <w:rsid w:val="00550587"/>
    <w:rsid w:val="005510A2"/>
    <w:rsid w:val="00556B1E"/>
    <w:rsid w:val="00557FE1"/>
    <w:rsid w:val="0057471B"/>
    <w:rsid w:val="005760C0"/>
    <w:rsid w:val="00577C56"/>
    <w:rsid w:val="00593B14"/>
    <w:rsid w:val="005A69D3"/>
    <w:rsid w:val="005A7E46"/>
    <w:rsid w:val="005B40AF"/>
    <w:rsid w:val="005E7E65"/>
    <w:rsid w:val="005F0EF9"/>
    <w:rsid w:val="006169B7"/>
    <w:rsid w:val="00643EE8"/>
    <w:rsid w:val="00646564"/>
    <w:rsid w:val="00697E47"/>
    <w:rsid w:val="006B6383"/>
    <w:rsid w:val="006C0673"/>
    <w:rsid w:val="006D40A1"/>
    <w:rsid w:val="006D6A77"/>
    <w:rsid w:val="006E17AC"/>
    <w:rsid w:val="006E557E"/>
    <w:rsid w:val="00734C49"/>
    <w:rsid w:val="0079243B"/>
    <w:rsid w:val="007C1ACE"/>
    <w:rsid w:val="007D2EE9"/>
    <w:rsid w:val="007D64A7"/>
    <w:rsid w:val="007D73CA"/>
    <w:rsid w:val="007E7AE9"/>
    <w:rsid w:val="007F3D27"/>
    <w:rsid w:val="007F61B2"/>
    <w:rsid w:val="008029EF"/>
    <w:rsid w:val="00804B4B"/>
    <w:rsid w:val="00812861"/>
    <w:rsid w:val="00826D8F"/>
    <w:rsid w:val="00856ADA"/>
    <w:rsid w:val="0088103B"/>
    <w:rsid w:val="008B21F5"/>
    <w:rsid w:val="008B427A"/>
    <w:rsid w:val="008B762A"/>
    <w:rsid w:val="008C783E"/>
    <w:rsid w:val="008D25AA"/>
    <w:rsid w:val="008D4A23"/>
    <w:rsid w:val="008E66EB"/>
    <w:rsid w:val="009019C0"/>
    <w:rsid w:val="009167F2"/>
    <w:rsid w:val="00925083"/>
    <w:rsid w:val="0092624F"/>
    <w:rsid w:val="009275DA"/>
    <w:rsid w:val="00943B85"/>
    <w:rsid w:val="00952833"/>
    <w:rsid w:val="00953279"/>
    <w:rsid w:val="00965EF6"/>
    <w:rsid w:val="00967AC3"/>
    <w:rsid w:val="00995CF4"/>
    <w:rsid w:val="009A12F6"/>
    <w:rsid w:val="009A5ABC"/>
    <w:rsid w:val="009C4068"/>
    <w:rsid w:val="009E16BE"/>
    <w:rsid w:val="009E3D81"/>
    <w:rsid w:val="00A31E78"/>
    <w:rsid w:val="00A617AE"/>
    <w:rsid w:val="00A677D2"/>
    <w:rsid w:val="00A84F59"/>
    <w:rsid w:val="00A86C95"/>
    <w:rsid w:val="00A92ABD"/>
    <w:rsid w:val="00A934F1"/>
    <w:rsid w:val="00AA14B4"/>
    <w:rsid w:val="00AA2589"/>
    <w:rsid w:val="00AB277E"/>
    <w:rsid w:val="00AB6EA0"/>
    <w:rsid w:val="00AC0E28"/>
    <w:rsid w:val="00AD1FAD"/>
    <w:rsid w:val="00AE67ED"/>
    <w:rsid w:val="00B02F9B"/>
    <w:rsid w:val="00B1740D"/>
    <w:rsid w:val="00B20FFD"/>
    <w:rsid w:val="00B24023"/>
    <w:rsid w:val="00B311C5"/>
    <w:rsid w:val="00B312AC"/>
    <w:rsid w:val="00B404F3"/>
    <w:rsid w:val="00B54023"/>
    <w:rsid w:val="00B667BF"/>
    <w:rsid w:val="00B73BA4"/>
    <w:rsid w:val="00B84D61"/>
    <w:rsid w:val="00BA33DD"/>
    <w:rsid w:val="00BB30BC"/>
    <w:rsid w:val="00BB31BA"/>
    <w:rsid w:val="00C10302"/>
    <w:rsid w:val="00C22B29"/>
    <w:rsid w:val="00C2460B"/>
    <w:rsid w:val="00C37851"/>
    <w:rsid w:val="00C37DC8"/>
    <w:rsid w:val="00C43319"/>
    <w:rsid w:val="00C47615"/>
    <w:rsid w:val="00C5319F"/>
    <w:rsid w:val="00C6651B"/>
    <w:rsid w:val="00C80357"/>
    <w:rsid w:val="00C862C0"/>
    <w:rsid w:val="00C91765"/>
    <w:rsid w:val="00C948B9"/>
    <w:rsid w:val="00CB3EE1"/>
    <w:rsid w:val="00CB516D"/>
    <w:rsid w:val="00CB59B3"/>
    <w:rsid w:val="00CC4C67"/>
    <w:rsid w:val="00CC525A"/>
    <w:rsid w:val="00CD6F03"/>
    <w:rsid w:val="00CE002E"/>
    <w:rsid w:val="00D20D87"/>
    <w:rsid w:val="00D3172F"/>
    <w:rsid w:val="00DA0394"/>
    <w:rsid w:val="00DC792E"/>
    <w:rsid w:val="00DD40E1"/>
    <w:rsid w:val="00DD4DE9"/>
    <w:rsid w:val="00DF3CA3"/>
    <w:rsid w:val="00DF50A4"/>
    <w:rsid w:val="00DF6AE8"/>
    <w:rsid w:val="00E12267"/>
    <w:rsid w:val="00E2243A"/>
    <w:rsid w:val="00E26165"/>
    <w:rsid w:val="00E27B4C"/>
    <w:rsid w:val="00E43196"/>
    <w:rsid w:val="00E43D8A"/>
    <w:rsid w:val="00E519A0"/>
    <w:rsid w:val="00E77B39"/>
    <w:rsid w:val="00E853FD"/>
    <w:rsid w:val="00E94EF7"/>
    <w:rsid w:val="00ED2030"/>
    <w:rsid w:val="00EF1648"/>
    <w:rsid w:val="00F03280"/>
    <w:rsid w:val="00F14386"/>
    <w:rsid w:val="00F16C3F"/>
    <w:rsid w:val="00F31A6A"/>
    <w:rsid w:val="00F52890"/>
    <w:rsid w:val="00F718B5"/>
    <w:rsid w:val="00F733A5"/>
    <w:rsid w:val="00F73FBB"/>
    <w:rsid w:val="00F9215C"/>
    <w:rsid w:val="00F929E1"/>
    <w:rsid w:val="00FB5E3D"/>
    <w:rsid w:val="00FB60C9"/>
    <w:rsid w:val="00FD4F48"/>
    <w:rsid w:val="00FE46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105A"/>
  <w15:chartTrackingRefBased/>
  <w15:docId w15:val="{9F6C59F6-EE3B-4E29-82AF-9FBF5BF6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67"/>
    <w:pPr>
      <w:spacing w:after="200" w:line="276" w:lineRule="auto"/>
    </w:pPr>
  </w:style>
  <w:style w:type="paragraph" w:styleId="Heading1">
    <w:name w:val="heading 1"/>
    <w:basedOn w:val="Normal"/>
    <w:next w:val="Normal"/>
    <w:link w:val="Heading1Char"/>
    <w:uiPriority w:val="9"/>
    <w:qFormat/>
    <w:rsid w:val="00494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471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CA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49471E"/>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49471E"/>
    <w:rPr>
      <w:strike w:val="0"/>
      <w:dstrike w:val="0"/>
      <w:color w:val="0072BC"/>
      <w:u w:val="none"/>
      <w:effect w:val="none"/>
    </w:rPr>
  </w:style>
  <w:style w:type="character" w:customStyle="1" w:styleId="Heading1Char">
    <w:name w:val="Heading 1 Char"/>
    <w:basedOn w:val="DefaultParagraphFont"/>
    <w:link w:val="Heading1"/>
    <w:uiPriority w:val="9"/>
    <w:rsid w:val="0049471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E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D81"/>
  </w:style>
  <w:style w:type="paragraph" w:styleId="Footer">
    <w:name w:val="footer"/>
    <w:basedOn w:val="Normal"/>
    <w:link w:val="FooterChar"/>
    <w:uiPriority w:val="99"/>
    <w:unhideWhenUsed/>
    <w:rsid w:val="009E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D81"/>
  </w:style>
  <w:style w:type="paragraph" w:styleId="ListParagraph">
    <w:name w:val="List Paragraph"/>
    <w:basedOn w:val="Normal"/>
    <w:uiPriority w:val="34"/>
    <w:qFormat/>
    <w:rsid w:val="00DD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90171">
      <w:bodyDiv w:val="1"/>
      <w:marLeft w:val="0"/>
      <w:marRight w:val="0"/>
      <w:marTop w:val="0"/>
      <w:marBottom w:val="0"/>
      <w:divBdr>
        <w:top w:val="none" w:sz="0" w:space="0" w:color="auto"/>
        <w:left w:val="none" w:sz="0" w:space="0" w:color="auto"/>
        <w:bottom w:val="none" w:sz="0" w:space="0" w:color="auto"/>
        <w:right w:val="none" w:sz="0" w:space="0" w:color="auto"/>
      </w:divBdr>
    </w:div>
    <w:div w:id="708527708">
      <w:bodyDiv w:val="1"/>
      <w:marLeft w:val="0"/>
      <w:marRight w:val="0"/>
      <w:marTop w:val="0"/>
      <w:marBottom w:val="0"/>
      <w:divBdr>
        <w:top w:val="none" w:sz="0" w:space="0" w:color="auto"/>
        <w:left w:val="none" w:sz="0" w:space="0" w:color="auto"/>
        <w:bottom w:val="none" w:sz="0" w:space="0" w:color="auto"/>
        <w:right w:val="none" w:sz="0" w:space="0" w:color="auto"/>
      </w:divBdr>
      <w:divsChild>
        <w:div w:id="360009167">
          <w:marLeft w:val="0"/>
          <w:marRight w:val="0"/>
          <w:marTop w:val="0"/>
          <w:marBottom w:val="0"/>
          <w:divBdr>
            <w:top w:val="none" w:sz="0" w:space="0" w:color="auto"/>
            <w:left w:val="none" w:sz="0" w:space="0" w:color="auto"/>
            <w:bottom w:val="none" w:sz="0" w:space="0" w:color="auto"/>
            <w:right w:val="none" w:sz="0" w:space="0" w:color="auto"/>
          </w:divBdr>
          <w:divsChild>
            <w:div w:id="482897087">
              <w:marLeft w:val="0"/>
              <w:marRight w:val="0"/>
              <w:marTop w:val="0"/>
              <w:marBottom w:val="0"/>
              <w:divBdr>
                <w:top w:val="none" w:sz="0" w:space="0" w:color="auto"/>
                <w:left w:val="none" w:sz="0" w:space="0" w:color="auto"/>
                <w:bottom w:val="none" w:sz="0" w:space="0" w:color="auto"/>
                <w:right w:val="none" w:sz="0" w:space="0" w:color="auto"/>
              </w:divBdr>
              <w:divsChild>
                <w:div w:id="342443934">
                  <w:marLeft w:val="0"/>
                  <w:marRight w:val="0"/>
                  <w:marTop w:val="0"/>
                  <w:marBottom w:val="0"/>
                  <w:divBdr>
                    <w:top w:val="none" w:sz="0" w:space="0" w:color="auto"/>
                    <w:left w:val="none" w:sz="0" w:space="0" w:color="auto"/>
                    <w:bottom w:val="none" w:sz="0" w:space="0" w:color="auto"/>
                    <w:right w:val="none" w:sz="0" w:space="0" w:color="auto"/>
                  </w:divBdr>
                  <w:divsChild>
                    <w:div w:id="256670609">
                      <w:marLeft w:val="0"/>
                      <w:marRight w:val="0"/>
                      <w:marTop w:val="0"/>
                      <w:marBottom w:val="0"/>
                      <w:divBdr>
                        <w:top w:val="none" w:sz="0" w:space="0" w:color="auto"/>
                        <w:left w:val="none" w:sz="0" w:space="0" w:color="auto"/>
                        <w:bottom w:val="none" w:sz="0" w:space="0" w:color="auto"/>
                        <w:right w:val="none" w:sz="0" w:space="0" w:color="auto"/>
                      </w:divBdr>
                      <w:divsChild>
                        <w:div w:id="1294754039">
                          <w:marLeft w:val="0"/>
                          <w:marRight w:val="0"/>
                          <w:marTop w:val="100"/>
                          <w:marBottom w:val="100"/>
                          <w:divBdr>
                            <w:top w:val="none" w:sz="0" w:space="0" w:color="auto"/>
                            <w:left w:val="none" w:sz="0" w:space="0" w:color="auto"/>
                            <w:bottom w:val="none" w:sz="0" w:space="0" w:color="auto"/>
                            <w:right w:val="none" w:sz="0" w:space="0" w:color="auto"/>
                          </w:divBdr>
                          <w:divsChild>
                            <w:div w:id="1827697619">
                              <w:marLeft w:val="0"/>
                              <w:marRight w:val="0"/>
                              <w:marTop w:val="0"/>
                              <w:marBottom w:val="0"/>
                              <w:divBdr>
                                <w:top w:val="none" w:sz="0" w:space="0" w:color="auto"/>
                                <w:left w:val="none" w:sz="0" w:space="0" w:color="auto"/>
                                <w:bottom w:val="none" w:sz="0" w:space="0" w:color="auto"/>
                                <w:right w:val="none" w:sz="0" w:space="0" w:color="auto"/>
                              </w:divBdr>
                              <w:divsChild>
                                <w:div w:id="580406447">
                                  <w:marLeft w:val="0"/>
                                  <w:marRight w:val="0"/>
                                  <w:marTop w:val="0"/>
                                  <w:marBottom w:val="0"/>
                                  <w:divBdr>
                                    <w:top w:val="none" w:sz="0" w:space="0" w:color="auto"/>
                                    <w:left w:val="none" w:sz="0" w:space="0" w:color="auto"/>
                                    <w:bottom w:val="none" w:sz="0" w:space="0" w:color="auto"/>
                                    <w:right w:val="none" w:sz="0" w:space="0" w:color="auto"/>
                                  </w:divBdr>
                                </w:div>
                                <w:div w:id="2099867050">
                                  <w:marLeft w:val="0"/>
                                  <w:marRight w:val="0"/>
                                  <w:marTop w:val="0"/>
                                  <w:marBottom w:val="0"/>
                                  <w:divBdr>
                                    <w:top w:val="none" w:sz="0" w:space="0" w:color="auto"/>
                                    <w:left w:val="none" w:sz="0" w:space="0" w:color="auto"/>
                                    <w:bottom w:val="none" w:sz="0" w:space="0" w:color="auto"/>
                                    <w:right w:val="none" w:sz="0" w:space="0" w:color="auto"/>
                                  </w:divBdr>
                                </w:div>
                                <w:div w:id="962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76699">
      <w:bodyDiv w:val="1"/>
      <w:marLeft w:val="0"/>
      <w:marRight w:val="0"/>
      <w:marTop w:val="0"/>
      <w:marBottom w:val="0"/>
      <w:divBdr>
        <w:top w:val="none" w:sz="0" w:space="0" w:color="auto"/>
        <w:left w:val="none" w:sz="0" w:space="0" w:color="auto"/>
        <w:bottom w:val="none" w:sz="0" w:space="0" w:color="auto"/>
        <w:right w:val="none" w:sz="0" w:space="0" w:color="auto"/>
      </w:divBdr>
      <w:divsChild>
        <w:div w:id="216094889">
          <w:marLeft w:val="547"/>
          <w:marRight w:val="0"/>
          <w:marTop w:val="96"/>
          <w:marBottom w:val="0"/>
          <w:divBdr>
            <w:top w:val="none" w:sz="0" w:space="0" w:color="auto"/>
            <w:left w:val="none" w:sz="0" w:space="0" w:color="auto"/>
            <w:bottom w:val="none" w:sz="0" w:space="0" w:color="auto"/>
            <w:right w:val="none" w:sz="0" w:space="0" w:color="auto"/>
          </w:divBdr>
        </w:div>
        <w:div w:id="1381440839">
          <w:marLeft w:val="547"/>
          <w:marRight w:val="0"/>
          <w:marTop w:val="96"/>
          <w:marBottom w:val="0"/>
          <w:divBdr>
            <w:top w:val="none" w:sz="0" w:space="0" w:color="auto"/>
            <w:left w:val="none" w:sz="0" w:space="0" w:color="auto"/>
            <w:bottom w:val="none" w:sz="0" w:space="0" w:color="auto"/>
            <w:right w:val="none" w:sz="0" w:space="0" w:color="auto"/>
          </w:divBdr>
        </w:div>
        <w:div w:id="1264265687">
          <w:marLeft w:val="547"/>
          <w:marRight w:val="0"/>
          <w:marTop w:val="96"/>
          <w:marBottom w:val="0"/>
          <w:divBdr>
            <w:top w:val="none" w:sz="0" w:space="0" w:color="auto"/>
            <w:left w:val="none" w:sz="0" w:space="0" w:color="auto"/>
            <w:bottom w:val="none" w:sz="0" w:space="0" w:color="auto"/>
            <w:right w:val="none" w:sz="0" w:space="0" w:color="auto"/>
          </w:divBdr>
        </w:div>
        <w:div w:id="1939218036">
          <w:marLeft w:val="547"/>
          <w:marRight w:val="0"/>
          <w:marTop w:val="96"/>
          <w:marBottom w:val="0"/>
          <w:divBdr>
            <w:top w:val="none" w:sz="0" w:space="0" w:color="auto"/>
            <w:left w:val="none" w:sz="0" w:space="0" w:color="auto"/>
            <w:bottom w:val="none" w:sz="0" w:space="0" w:color="auto"/>
            <w:right w:val="none" w:sz="0" w:space="0" w:color="auto"/>
          </w:divBdr>
        </w:div>
        <w:div w:id="2050756506">
          <w:marLeft w:val="547"/>
          <w:marRight w:val="0"/>
          <w:marTop w:val="96"/>
          <w:marBottom w:val="0"/>
          <w:divBdr>
            <w:top w:val="none" w:sz="0" w:space="0" w:color="auto"/>
            <w:left w:val="none" w:sz="0" w:space="0" w:color="auto"/>
            <w:bottom w:val="none" w:sz="0" w:space="0" w:color="auto"/>
            <w:right w:val="none" w:sz="0" w:space="0" w:color="auto"/>
          </w:divBdr>
        </w:div>
        <w:div w:id="1255675308">
          <w:marLeft w:val="547"/>
          <w:marRight w:val="0"/>
          <w:marTop w:val="96"/>
          <w:marBottom w:val="0"/>
          <w:divBdr>
            <w:top w:val="none" w:sz="0" w:space="0" w:color="auto"/>
            <w:left w:val="none" w:sz="0" w:space="0" w:color="auto"/>
            <w:bottom w:val="none" w:sz="0" w:space="0" w:color="auto"/>
            <w:right w:val="none" w:sz="0" w:space="0" w:color="auto"/>
          </w:divBdr>
        </w:div>
        <w:div w:id="1963605962">
          <w:marLeft w:val="547"/>
          <w:marRight w:val="0"/>
          <w:marTop w:val="96"/>
          <w:marBottom w:val="0"/>
          <w:divBdr>
            <w:top w:val="none" w:sz="0" w:space="0" w:color="auto"/>
            <w:left w:val="none" w:sz="0" w:space="0" w:color="auto"/>
            <w:bottom w:val="none" w:sz="0" w:space="0" w:color="auto"/>
            <w:right w:val="none" w:sz="0" w:space="0" w:color="auto"/>
          </w:divBdr>
        </w:div>
        <w:div w:id="1996176649">
          <w:marLeft w:val="547"/>
          <w:marRight w:val="0"/>
          <w:marTop w:val="96"/>
          <w:marBottom w:val="0"/>
          <w:divBdr>
            <w:top w:val="none" w:sz="0" w:space="0" w:color="auto"/>
            <w:left w:val="none" w:sz="0" w:space="0" w:color="auto"/>
            <w:bottom w:val="none" w:sz="0" w:space="0" w:color="auto"/>
            <w:right w:val="none" w:sz="0" w:space="0" w:color="auto"/>
          </w:divBdr>
        </w:div>
        <w:div w:id="1479767124">
          <w:marLeft w:val="547"/>
          <w:marRight w:val="0"/>
          <w:marTop w:val="96"/>
          <w:marBottom w:val="0"/>
          <w:divBdr>
            <w:top w:val="none" w:sz="0" w:space="0" w:color="auto"/>
            <w:left w:val="none" w:sz="0" w:space="0" w:color="auto"/>
            <w:bottom w:val="none" w:sz="0" w:space="0" w:color="auto"/>
            <w:right w:val="none" w:sz="0" w:space="0" w:color="auto"/>
          </w:divBdr>
        </w:div>
        <w:div w:id="1785077520">
          <w:marLeft w:val="547"/>
          <w:marRight w:val="0"/>
          <w:marTop w:val="96"/>
          <w:marBottom w:val="0"/>
          <w:divBdr>
            <w:top w:val="none" w:sz="0" w:space="0" w:color="auto"/>
            <w:left w:val="none" w:sz="0" w:space="0" w:color="auto"/>
            <w:bottom w:val="none" w:sz="0" w:space="0" w:color="auto"/>
            <w:right w:val="none" w:sz="0" w:space="0" w:color="auto"/>
          </w:divBdr>
        </w:div>
      </w:divsChild>
    </w:div>
    <w:div w:id="1204367788">
      <w:bodyDiv w:val="1"/>
      <w:marLeft w:val="0"/>
      <w:marRight w:val="0"/>
      <w:marTop w:val="0"/>
      <w:marBottom w:val="0"/>
      <w:divBdr>
        <w:top w:val="none" w:sz="0" w:space="0" w:color="auto"/>
        <w:left w:val="none" w:sz="0" w:space="0" w:color="auto"/>
        <w:bottom w:val="none" w:sz="0" w:space="0" w:color="auto"/>
        <w:right w:val="none" w:sz="0" w:space="0" w:color="auto"/>
      </w:divBdr>
      <w:divsChild>
        <w:div w:id="747655659">
          <w:marLeft w:val="0"/>
          <w:marRight w:val="0"/>
          <w:marTop w:val="0"/>
          <w:marBottom w:val="0"/>
          <w:divBdr>
            <w:top w:val="none" w:sz="0" w:space="0" w:color="auto"/>
            <w:left w:val="none" w:sz="0" w:space="0" w:color="auto"/>
            <w:bottom w:val="none" w:sz="0" w:space="0" w:color="auto"/>
            <w:right w:val="none" w:sz="0" w:space="0" w:color="auto"/>
          </w:divBdr>
          <w:divsChild>
            <w:div w:id="1709255584">
              <w:marLeft w:val="0"/>
              <w:marRight w:val="0"/>
              <w:marTop w:val="0"/>
              <w:marBottom w:val="0"/>
              <w:divBdr>
                <w:top w:val="none" w:sz="0" w:space="0" w:color="auto"/>
                <w:left w:val="none" w:sz="0" w:space="0" w:color="auto"/>
                <w:bottom w:val="none" w:sz="0" w:space="0" w:color="auto"/>
                <w:right w:val="none" w:sz="0" w:space="0" w:color="auto"/>
              </w:divBdr>
              <w:divsChild>
                <w:div w:id="1630427698">
                  <w:marLeft w:val="0"/>
                  <w:marRight w:val="0"/>
                  <w:marTop w:val="0"/>
                  <w:marBottom w:val="0"/>
                  <w:divBdr>
                    <w:top w:val="none" w:sz="0" w:space="0" w:color="auto"/>
                    <w:left w:val="none" w:sz="0" w:space="0" w:color="auto"/>
                    <w:bottom w:val="none" w:sz="0" w:space="0" w:color="auto"/>
                    <w:right w:val="none" w:sz="0" w:space="0" w:color="auto"/>
                  </w:divBdr>
                  <w:divsChild>
                    <w:div w:id="1677533789">
                      <w:marLeft w:val="0"/>
                      <w:marRight w:val="0"/>
                      <w:marTop w:val="0"/>
                      <w:marBottom w:val="0"/>
                      <w:divBdr>
                        <w:top w:val="none" w:sz="0" w:space="0" w:color="auto"/>
                        <w:left w:val="none" w:sz="0" w:space="0" w:color="auto"/>
                        <w:bottom w:val="none" w:sz="0" w:space="0" w:color="auto"/>
                        <w:right w:val="none" w:sz="0" w:space="0" w:color="auto"/>
                      </w:divBdr>
                      <w:divsChild>
                        <w:div w:id="2141220124">
                          <w:marLeft w:val="0"/>
                          <w:marRight w:val="0"/>
                          <w:marTop w:val="100"/>
                          <w:marBottom w:val="100"/>
                          <w:divBdr>
                            <w:top w:val="none" w:sz="0" w:space="0" w:color="auto"/>
                            <w:left w:val="none" w:sz="0" w:space="0" w:color="auto"/>
                            <w:bottom w:val="none" w:sz="0" w:space="0" w:color="auto"/>
                            <w:right w:val="none" w:sz="0" w:space="0" w:color="auto"/>
                          </w:divBdr>
                          <w:divsChild>
                            <w:div w:id="1162163040">
                              <w:marLeft w:val="0"/>
                              <w:marRight w:val="0"/>
                              <w:marTop w:val="0"/>
                              <w:marBottom w:val="0"/>
                              <w:divBdr>
                                <w:top w:val="none" w:sz="0" w:space="0" w:color="auto"/>
                                <w:left w:val="none" w:sz="0" w:space="0" w:color="auto"/>
                                <w:bottom w:val="none" w:sz="0" w:space="0" w:color="auto"/>
                                <w:right w:val="none" w:sz="0" w:space="0" w:color="auto"/>
                              </w:divBdr>
                              <w:divsChild>
                                <w:div w:id="8322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76960">
      <w:bodyDiv w:val="1"/>
      <w:marLeft w:val="0"/>
      <w:marRight w:val="0"/>
      <w:marTop w:val="0"/>
      <w:marBottom w:val="0"/>
      <w:divBdr>
        <w:top w:val="none" w:sz="0" w:space="0" w:color="auto"/>
        <w:left w:val="none" w:sz="0" w:space="0" w:color="auto"/>
        <w:bottom w:val="none" w:sz="0" w:space="0" w:color="auto"/>
        <w:right w:val="none" w:sz="0" w:space="0" w:color="auto"/>
      </w:divBdr>
      <w:divsChild>
        <w:div w:id="1683043962">
          <w:marLeft w:val="547"/>
          <w:marRight w:val="0"/>
          <w:marTop w:val="96"/>
          <w:marBottom w:val="0"/>
          <w:divBdr>
            <w:top w:val="none" w:sz="0" w:space="0" w:color="auto"/>
            <w:left w:val="none" w:sz="0" w:space="0" w:color="auto"/>
            <w:bottom w:val="none" w:sz="0" w:space="0" w:color="auto"/>
            <w:right w:val="none" w:sz="0" w:space="0" w:color="auto"/>
          </w:divBdr>
        </w:div>
        <w:div w:id="1529104061">
          <w:marLeft w:val="547"/>
          <w:marRight w:val="0"/>
          <w:marTop w:val="96"/>
          <w:marBottom w:val="0"/>
          <w:divBdr>
            <w:top w:val="none" w:sz="0" w:space="0" w:color="auto"/>
            <w:left w:val="none" w:sz="0" w:space="0" w:color="auto"/>
            <w:bottom w:val="none" w:sz="0" w:space="0" w:color="auto"/>
            <w:right w:val="none" w:sz="0" w:space="0" w:color="auto"/>
          </w:divBdr>
        </w:div>
        <w:div w:id="258366880">
          <w:marLeft w:val="547"/>
          <w:marRight w:val="0"/>
          <w:marTop w:val="96"/>
          <w:marBottom w:val="0"/>
          <w:divBdr>
            <w:top w:val="none" w:sz="0" w:space="0" w:color="auto"/>
            <w:left w:val="none" w:sz="0" w:space="0" w:color="auto"/>
            <w:bottom w:val="none" w:sz="0" w:space="0" w:color="auto"/>
            <w:right w:val="none" w:sz="0" w:space="0" w:color="auto"/>
          </w:divBdr>
        </w:div>
        <w:div w:id="1624077325">
          <w:marLeft w:val="547"/>
          <w:marRight w:val="0"/>
          <w:marTop w:val="96"/>
          <w:marBottom w:val="0"/>
          <w:divBdr>
            <w:top w:val="none" w:sz="0" w:space="0" w:color="auto"/>
            <w:left w:val="none" w:sz="0" w:space="0" w:color="auto"/>
            <w:bottom w:val="none" w:sz="0" w:space="0" w:color="auto"/>
            <w:right w:val="none" w:sz="0" w:space="0" w:color="auto"/>
          </w:divBdr>
        </w:div>
        <w:div w:id="1986087763">
          <w:marLeft w:val="547"/>
          <w:marRight w:val="0"/>
          <w:marTop w:val="96"/>
          <w:marBottom w:val="0"/>
          <w:divBdr>
            <w:top w:val="none" w:sz="0" w:space="0" w:color="auto"/>
            <w:left w:val="none" w:sz="0" w:space="0" w:color="auto"/>
            <w:bottom w:val="none" w:sz="0" w:space="0" w:color="auto"/>
            <w:right w:val="none" w:sz="0" w:space="0" w:color="auto"/>
          </w:divBdr>
        </w:div>
        <w:div w:id="1911580129">
          <w:marLeft w:val="547"/>
          <w:marRight w:val="0"/>
          <w:marTop w:val="96"/>
          <w:marBottom w:val="0"/>
          <w:divBdr>
            <w:top w:val="none" w:sz="0" w:space="0" w:color="auto"/>
            <w:left w:val="none" w:sz="0" w:space="0" w:color="auto"/>
            <w:bottom w:val="none" w:sz="0" w:space="0" w:color="auto"/>
            <w:right w:val="none" w:sz="0" w:space="0" w:color="auto"/>
          </w:divBdr>
        </w:div>
        <w:div w:id="984354562">
          <w:marLeft w:val="547"/>
          <w:marRight w:val="0"/>
          <w:marTop w:val="96"/>
          <w:marBottom w:val="0"/>
          <w:divBdr>
            <w:top w:val="none" w:sz="0" w:space="0" w:color="auto"/>
            <w:left w:val="none" w:sz="0" w:space="0" w:color="auto"/>
            <w:bottom w:val="none" w:sz="0" w:space="0" w:color="auto"/>
            <w:right w:val="none" w:sz="0" w:space="0" w:color="auto"/>
          </w:divBdr>
        </w:div>
        <w:div w:id="1817067097">
          <w:marLeft w:val="547"/>
          <w:marRight w:val="0"/>
          <w:marTop w:val="96"/>
          <w:marBottom w:val="0"/>
          <w:divBdr>
            <w:top w:val="none" w:sz="0" w:space="0" w:color="auto"/>
            <w:left w:val="none" w:sz="0" w:space="0" w:color="auto"/>
            <w:bottom w:val="none" w:sz="0" w:space="0" w:color="auto"/>
            <w:right w:val="none" w:sz="0" w:space="0" w:color="auto"/>
          </w:divBdr>
        </w:div>
        <w:div w:id="159783637">
          <w:marLeft w:val="547"/>
          <w:marRight w:val="0"/>
          <w:marTop w:val="96"/>
          <w:marBottom w:val="0"/>
          <w:divBdr>
            <w:top w:val="none" w:sz="0" w:space="0" w:color="auto"/>
            <w:left w:val="none" w:sz="0" w:space="0" w:color="auto"/>
            <w:bottom w:val="none" w:sz="0" w:space="0" w:color="auto"/>
            <w:right w:val="none" w:sz="0" w:space="0" w:color="auto"/>
          </w:divBdr>
        </w:div>
      </w:divsChild>
    </w:div>
    <w:div w:id="2043170434">
      <w:bodyDiv w:val="1"/>
      <w:marLeft w:val="0"/>
      <w:marRight w:val="0"/>
      <w:marTop w:val="0"/>
      <w:marBottom w:val="0"/>
      <w:divBdr>
        <w:top w:val="none" w:sz="0" w:space="0" w:color="auto"/>
        <w:left w:val="none" w:sz="0" w:space="0" w:color="auto"/>
        <w:bottom w:val="none" w:sz="0" w:space="0" w:color="auto"/>
        <w:right w:val="none" w:sz="0" w:space="0" w:color="auto"/>
      </w:divBdr>
      <w:divsChild>
        <w:div w:id="439493393">
          <w:marLeft w:val="547"/>
          <w:marRight w:val="0"/>
          <w:marTop w:val="115"/>
          <w:marBottom w:val="0"/>
          <w:divBdr>
            <w:top w:val="none" w:sz="0" w:space="0" w:color="auto"/>
            <w:left w:val="none" w:sz="0" w:space="0" w:color="auto"/>
            <w:bottom w:val="none" w:sz="0" w:space="0" w:color="auto"/>
            <w:right w:val="none" w:sz="0" w:space="0" w:color="auto"/>
          </w:divBdr>
        </w:div>
        <w:div w:id="1572425988">
          <w:marLeft w:val="547"/>
          <w:marRight w:val="0"/>
          <w:marTop w:val="115"/>
          <w:marBottom w:val="0"/>
          <w:divBdr>
            <w:top w:val="none" w:sz="0" w:space="0" w:color="auto"/>
            <w:left w:val="none" w:sz="0" w:space="0" w:color="auto"/>
            <w:bottom w:val="none" w:sz="0" w:space="0" w:color="auto"/>
            <w:right w:val="none" w:sz="0" w:space="0" w:color="auto"/>
          </w:divBdr>
        </w:div>
        <w:div w:id="292440984">
          <w:marLeft w:val="547"/>
          <w:marRight w:val="0"/>
          <w:marTop w:val="115"/>
          <w:marBottom w:val="0"/>
          <w:divBdr>
            <w:top w:val="none" w:sz="0" w:space="0" w:color="auto"/>
            <w:left w:val="none" w:sz="0" w:space="0" w:color="auto"/>
            <w:bottom w:val="none" w:sz="0" w:space="0" w:color="auto"/>
            <w:right w:val="none" w:sz="0" w:space="0" w:color="auto"/>
          </w:divBdr>
        </w:div>
        <w:div w:id="1771388055">
          <w:marLeft w:val="547"/>
          <w:marRight w:val="0"/>
          <w:marTop w:val="115"/>
          <w:marBottom w:val="0"/>
          <w:divBdr>
            <w:top w:val="none" w:sz="0" w:space="0" w:color="auto"/>
            <w:left w:val="none" w:sz="0" w:space="0" w:color="auto"/>
            <w:bottom w:val="none" w:sz="0" w:space="0" w:color="auto"/>
            <w:right w:val="none" w:sz="0" w:space="0" w:color="auto"/>
          </w:divBdr>
        </w:div>
        <w:div w:id="1462990115">
          <w:marLeft w:val="547"/>
          <w:marRight w:val="0"/>
          <w:marTop w:val="115"/>
          <w:marBottom w:val="0"/>
          <w:divBdr>
            <w:top w:val="none" w:sz="0" w:space="0" w:color="auto"/>
            <w:left w:val="none" w:sz="0" w:space="0" w:color="auto"/>
            <w:bottom w:val="none" w:sz="0" w:space="0" w:color="auto"/>
            <w:right w:val="none" w:sz="0" w:space="0" w:color="auto"/>
          </w:divBdr>
        </w:div>
        <w:div w:id="257492599">
          <w:marLeft w:val="547"/>
          <w:marRight w:val="0"/>
          <w:marTop w:val="115"/>
          <w:marBottom w:val="0"/>
          <w:divBdr>
            <w:top w:val="none" w:sz="0" w:space="0" w:color="auto"/>
            <w:left w:val="none" w:sz="0" w:space="0" w:color="auto"/>
            <w:bottom w:val="none" w:sz="0" w:space="0" w:color="auto"/>
            <w:right w:val="none" w:sz="0" w:space="0" w:color="auto"/>
          </w:divBdr>
        </w:div>
        <w:div w:id="1505172366">
          <w:marLeft w:val="547"/>
          <w:marRight w:val="0"/>
          <w:marTop w:val="115"/>
          <w:marBottom w:val="0"/>
          <w:divBdr>
            <w:top w:val="none" w:sz="0" w:space="0" w:color="auto"/>
            <w:left w:val="none" w:sz="0" w:space="0" w:color="auto"/>
            <w:bottom w:val="none" w:sz="0" w:space="0" w:color="auto"/>
            <w:right w:val="none" w:sz="0" w:space="0" w:color="auto"/>
          </w:divBdr>
        </w:div>
        <w:div w:id="212896906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TaxTypes/VAT/Pages/Tax-periods-for-vat-vendors.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11500</Characters>
  <Application>Microsoft Office Word</Application>
  <DocSecurity>0</DocSecurity>
  <Lines>370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Gcinile Mntambo</dc:creator>
  <cp:keywords/>
  <dc:description/>
  <cp:lastModifiedBy>Gcinile Mntambo</cp:lastModifiedBy>
  <cp:revision>2</cp:revision>
  <dcterms:created xsi:type="dcterms:W3CDTF">2024-05-10T07:12:00Z</dcterms:created>
  <dcterms:modified xsi:type="dcterms:W3CDTF">2024-05-10T07:12:00Z</dcterms:modified>
</cp:coreProperties>
</file>